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drawing>
          <wp:inline xmlns:a="http://schemas.openxmlformats.org/drawingml/2006/main" xmlns:pic="http://schemas.openxmlformats.org/drawingml/2006/picture">
            <wp:extent cx="1620000" cy="575576"/>
            <wp:docPr id="1" name="Picture 1"/>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1620000" cy="575576"/>
                    </a:xfrm>
                    <a:prstGeom prst="rect"/>
                  </pic:spPr>
                </pic:pic>
              </a:graphicData>
            </a:graphic>
          </wp:inline>
        </w:drawing>
      </w:r>
    </w:p>
    <w:p/>
    <w:p>
      <w:pPr>
        <w:spacing w:after="40"/>
      </w:pPr>
      <w:r>
        <w:rPr>
          <w:rFonts w:ascii="Calibri" w:hAnsi="Calibri"/>
          <w:b/>
          <w:i w:val="0"/>
          <w:color w:val="A6192E"/>
          <w:sz w:val="52"/>
        </w:rPr>
        <w:t>Eugene Platform — Technical Recommendations &amp; Next-Generation Architecture</w:t>
      </w:r>
    </w:p>
    <w:p>
      <w:r>
        <w:rPr>
          <w:rFonts w:ascii="Calibri" w:hAnsi="Calibri"/>
          <w:b w:val="0"/>
          <w:i w:val="0"/>
          <w:color w:val="1B3A6B"/>
          <w:sz w:val="28"/>
        </w:rPr>
        <w:t>Audit Findings, Multi-Agent Target State and a User-Experience Enhancement Programme</w:t>
      </w:r>
    </w:p>
    <w:p/>
    <w:p>
      <w:pPr>
        <w:spacing w:after="40"/>
      </w:pPr>
      <w:r>
        <w:rPr>
          <w:rFonts w:ascii="Calibri" w:hAnsi="Calibri"/>
          <w:b/>
          <w:i w:val="0"/>
          <w:color w:val="1B3A6B"/>
          <w:sz w:val="21"/>
        </w:rPr>
        <w:t xml:space="preserve">Prepared for: </w:t>
      </w:r>
      <w:r>
        <w:rPr>
          <w:rFonts w:ascii="Calibri" w:hAnsi="Calibri"/>
          <w:b w:val="0"/>
          <w:i w:val="0"/>
          <w:color w:val="000000"/>
          <w:sz w:val="21"/>
        </w:rPr>
        <w:t>CSL Behring — Business Development &amp; R&amp;D Stakeholders</w:t>
      </w:r>
    </w:p>
    <w:p>
      <w:pPr>
        <w:spacing w:after="40"/>
      </w:pPr>
      <w:r>
        <w:rPr>
          <w:rFonts w:ascii="Calibri" w:hAnsi="Calibri"/>
          <w:b/>
          <w:i w:val="0"/>
          <w:color w:val="1B3A6B"/>
          <w:sz w:val="21"/>
        </w:rPr>
        <w:t xml:space="preserve">Programme: </w:t>
      </w:r>
      <w:r>
        <w:rPr>
          <w:rFonts w:ascii="Calibri" w:hAnsi="Calibri"/>
          <w:b w:val="0"/>
          <w:i w:val="0"/>
          <w:color w:val="000000"/>
          <w:sz w:val="21"/>
        </w:rPr>
        <w:t>Eugene Knowledge Graph &amp; Agentic AI Platform</w:t>
      </w:r>
    </w:p>
    <w:p>
      <w:pPr>
        <w:spacing w:after="40"/>
      </w:pPr>
      <w:r>
        <w:rPr>
          <w:rFonts w:ascii="Calibri" w:hAnsi="Calibri"/>
          <w:b/>
          <w:i w:val="0"/>
          <w:color w:val="1B3A6B"/>
          <w:sz w:val="21"/>
        </w:rPr>
        <w:t xml:space="preserve">Date: </w:t>
      </w:r>
      <w:r>
        <w:rPr>
          <w:rFonts w:ascii="Calibri" w:hAnsi="Calibri"/>
          <w:b w:val="0"/>
          <w:i w:val="0"/>
          <w:color w:val="000000"/>
          <w:sz w:val="21"/>
        </w:rPr>
        <w:t>May 2, 2026</w:t>
      </w:r>
    </w:p>
    <w:p>
      <w:pPr>
        <w:spacing w:after="40"/>
      </w:pPr>
      <w:r>
        <w:rPr>
          <w:rFonts w:ascii="Calibri" w:hAnsi="Calibri"/>
          <w:b/>
          <w:i w:val="0"/>
          <w:color w:val="1B3A6B"/>
          <w:sz w:val="21"/>
        </w:rPr>
        <w:t xml:space="preserve">Classification: </w:t>
      </w:r>
      <w:r>
        <w:rPr>
          <w:rFonts w:ascii="Calibri" w:hAnsi="Calibri"/>
          <w:b w:val="0"/>
          <w:i w:val="0"/>
          <w:color w:val="000000"/>
          <w:sz w:val="21"/>
        </w:rPr>
        <w:t>Confidential — Internal Use Only</w:t>
      </w:r>
    </w:p>
    <w:p>
      <w:pPr>
        <w:spacing w:after="40"/>
      </w:pPr>
      <w:r>
        <w:rPr>
          <w:rFonts w:ascii="Calibri" w:hAnsi="Calibri"/>
          <w:b/>
          <w:i w:val="0"/>
          <w:color w:val="1B3A6B"/>
          <w:sz w:val="21"/>
        </w:rPr>
        <w:t xml:space="preserve">Version: </w:t>
      </w:r>
      <w:r>
        <w:rPr>
          <w:rFonts w:ascii="Calibri" w:hAnsi="Calibri"/>
          <w:b w:val="0"/>
          <w:i w:val="0"/>
          <w:color w:val="000000"/>
          <w:sz w:val="21"/>
        </w:rPr>
        <w:t>2.0  (Book Edition)</w:t>
      </w:r>
    </w:p>
    <w:p/>
    <w:p>
      <w:r>
        <w:rPr>
          <w:rFonts w:ascii="Calibri" w:hAnsi="Calibri"/>
          <w:b w:val="0"/>
          <w:i/>
          <w:color w:val="424242"/>
          <w:sz w:val="18"/>
        </w:rPr>
        <w:t>This document is a synthesised, book-format evaluation distilled from the Eugene Project Validation Document, the Stage 1 Assessment &amp; Audit Report, the Developer Guide, and the canonical architecture diagram.</w:t>
      </w:r>
    </w:p>
    <w:p>
      <w:r>
        <w:br w:type="page"/>
      </w:r>
    </w:p>
    <w:p>
      <w:pPr>
        <w:spacing w:before="280" w:after="160"/>
        <w:outlineLvl w:val="1"/>
      </w:pPr>
      <w:r>
        <w:rPr>
          <w:rFonts w:ascii="Calibri" w:hAnsi="Calibri"/>
          <w:b/>
          <w:i w:val="0"/>
          <w:color w:val="1B3A6B"/>
          <w:sz w:val="34"/>
        </w:rPr>
        <w:t>Table of Contents</w:t>
      </w:r>
    </w:p>
    <w:p>
      <w:r>
        <w:fldChar w:fldCharType="begin"/>
        <w:instrText xml:space="preserve">TOC \o "1-3" \h \z \u</w:instrText>
        <w:fldChar w:fldCharType="separate"/>
        <w:t>Right-click and choose 'Update Field' to populate the table of contents.</w:t>
        <w:fldChar w:fldCharType="end"/>
      </w:r>
    </w:p>
    <w:p>
      <w:r>
        <w:br w:type="page"/>
      </w:r>
    </w:p>
    <w:p>
      <w:r>
        <w:br w:type="page"/>
      </w:r>
    </w:p>
    <w:p>
      <w:pPr>
        <w:spacing w:before="360" w:after="240"/>
        <w:outlineLvl w:val="0"/>
      </w:pPr>
      <w:r>
        <w:rPr>
          <w:rFonts w:ascii="Calibri" w:hAnsi="Calibri"/>
          <w:b/>
          <w:i w:val="0"/>
          <w:color w:val="A6192E"/>
          <w:sz w:val="48"/>
        </w:rPr>
        <w:t>Front Matter</w:t>
      </w:r>
    </w:p>
    <w:p>
      <w:r>
        <w:br w:type="page"/>
      </w:r>
    </w:p>
    <w:p>
      <w:pPr>
        <w:spacing w:before="280" w:after="160"/>
        <w:outlineLvl w:val="1"/>
      </w:pPr>
      <w:r>
        <w:rPr>
          <w:rFonts w:ascii="Calibri" w:hAnsi="Calibri"/>
          <w:b/>
          <w:i w:val="0"/>
          <w:color w:val="1B3A6B"/>
          <w:sz w:val="34"/>
        </w:rPr>
        <w:t>Foreword</w:t>
      </w:r>
    </w:p>
    <w:p>
      <w:pPr>
        <w:spacing w:after="120"/>
        <w:jc w:val="both"/>
      </w:pPr>
      <w:r>
        <w:rPr>
          <w:rFonts w:ascii="Calibri" w:hAnsi="Calibri"/>
          <w:b w:val="0"/>
          <w:i w:val="0"/>
          <w:color w:val="000000"/>
          <w:sz w:val="21"/>
        </w:rPr>
        <w:t>This volume is the companion to *Eugene Platform — Project Evaluation*. Where the evaluation establishes what has been built, this document establishes what should be built next. Three concerns are addressed in sequence. First, the twenty-one findings raised by the Stage 1 audit, with verbatim descriptions, severity, and concrete remediation. Second, the next-generation architecture proposed in CSL_Arch_nextGen.pdf — a CSL-owned orchestration layer running specialist agents on AWS Bedrock AgentCore, with the Eugene knowledge graph as one authoritative source alongside SharePoint, Confluence, deal eRooms, partner platforms, and external public sources. Third, a user-experience enhancement programme of fifteen concrete improvements, derived from a feature-by-feature reading of the current Streamlit and Next.js implementations.</w:t>
      </w:r>
    </w:p>
    <w:p>
      <w:pPr>
        <w:spacing w:after="120"/>
        <w:jc w:val="both"/>
      </w:pPr>
      <w:r>
        <w:rPr>
          <w:rFonts w:ascii="Calibri" w:hAnsi="Calibri"/>
          <w:b w:val="0"/>
          <w:i w:val="0"/>
          <w:color w:val="000000"/>
          <w:sz w:val="21"/>
        </w:rPr>
        <w:t>The intent is that this document, read together with the evaluation, supplies stakeholder leadership with everything required to commission Stage 2: the audit findings to be remediated, the architectural target to be built toward, the user-experience commitments to be made, and the phasing and investment envelope under which all of the above can be delivered.</w:t>
      </w:r>
    </w:p>
    <w:p>
      <w:pPr>
        <w:spacing w:before="280" w:after="160"/>
        <w:outlineLvl w:val="1"/>
      </w:pPr>
      <w:r>
        <w:rPr>
          <w:rFonts w:ascii="Calibri" w:hAnsi="Calibri"/>
          <w:b/>
          <w:i w:val="0"/>
          <w:color w:val="1B3A6B"/>
          <w:sz w:val="34"/>
        </w:rPr>
        <w:t>Document Map</w:t>
      </w:r>
    </w:p>
    <w:p>
      <w:pPr>
        <w:spacing w:after="120"/>
        <w:jc w:val="both"/>
      </w:pPr>
      <w:r>
        <w:rPr>
          <w:rFonts w:ascii="Calibri" w:hAnsi="Calibri"/>
          <w:b w:val="0"/>
          <w:i w:val="0"/>
          <w:color w:val="000000"/>
          <w:sz w:val="21"/>
        </w:rPr>
        <w:t>The volume is organised in five parts:</w:t>
      </w:r>
    </w:p>
    <w:p>
      <w:pPr>
        <w:pStyle w:val="ListBullet"/>
        <w:spacing w:after="40"/>
      </w:pPr>
      <w:r>
        <w:rPr>
          <w:rFonts w:ascii="Calibri" w:hAnsi="Calibri"/>
          <w:b w:val="0"/>
          <w:i w:val="0"/>
          <w:sz w:val="21"/>
        </w:rPr>
        <w:t>Part I — Audit Findings and Remediation — the twenty-one findings of Stage 1 in full, with severity, description, recommended remediation and effort estimate, plus the six positive findings that the audit asks to preserve.</w:t>
      </w:r>
    </w:p>
    <w:p>
      <w:pPr>
        <w:pStyle w:val="ListBullet"/>
        <w:spacing w:after="40"/>
      </w:pPr>
      <w:r>
        <w:rPr>
          <w:rFonts w:ascii="Calibri" w:hAnsi="Calibri"/>
          <w:b w:val="0"/>
          <w:i w:val="0"/>
          <w:sz w:val="21"/>
        </w:rPr>
        <w:t>Part II — Next-Generation Architecture — the target topology, specialist agent layout, AgentCore service decomposition, knowledge and data sources, and security / governance posture.</w:t>
      </w:r>
    </w:p>
    <w:p>
      <w:pPr>
        <w:pStyle w:val="ListBullet"/>
        <w:spacing w:after="40"/>
      </w:pPr>
      <w:r>
        <w:rPr>
          <w:rFonts w:ascii="Calibri" w:hAnsi="Calibri"/>
          <w:b w:val="0"/>
          <w:i w:val="0"/>
          <w:sz w:val="21"/>
        </w:rPr>
        <w:t>Part III — UI / UX Enhancement Programme — current-state assessment of both UIs, fifteen concrete enhancements, accessibility, and a delivery plan for the user-experience workstream.</w:t>
      </w:r>
    </w:p>
    <w:p>
      <w:pPr>
        <w:pStyle w:val="ListBullet"/>
        <w:spacing w:after="40"/>
      </w:pPr>
      <w:r>
        <w:rPr>
          <w:rFonts w:ascii="Calibri" w:hAnsi="Calibri"/>
          <w:b w:val="0"/>
          <w:i w:val="0"/>
          <w:sz w:val="21"/>
        </w:rPr>
        <w:t>Part IV — Programme Roadmap — four-phase plan with weeks, deliverables, and entry / exit criteria; investment outline; non-functional targets.</w:t>
      </w:r>
    </w:p>
    <w:p>
      <w:pPr>
        <w:pStyle w:val="ListBullet"/>
        <w:spacing w:after="40"/>
      </w:pPr>
      <w:r>
        <w:rPr>
          <w:rFonts w:ascii="Calibri" w:hAnsi="Calibri"/>
          <w:b w:val="0"/>
          <w:i w:val="0"/>
          <w:sz w:val="21"/>
        </w:rPr>
        <w:t>Part V — Risk, Investment and Appendices — programme risks, expected ROI, and reference appendices.</w:t>
      </w:r>
    </w:p>
    <w:p>
      <w:pPr>
        <w:spacing w:before="280" w:after="160"/>
        <w:outlineLvl w:val="1"/>
      </w:pPr>
      <w:r>
        <w:rPr>
          <w:rFonts w:ascii="Calibri" w:hAnsi="Calibri"/>
          <w:b/>
          <w:i w:val="0"/>
          <w:color w:val="1B3A6B"/>
          <w:sz w:val="34"/>
        </w:rPr>
        <w:t>Executive Summary</w:t>
      </w:r>
    </w:p>
    <w:p>
      <w:pPr>
        <w:spacing w:before="200" w:after="80"/>
        <w:outlineLvl w:val="2"/>
      </w:pPr>
      <w:r>
        <w:rPr>
          <w:rFonts w:ascii="Calibri" w:hAnsi="Calibri"/>
          <w:b/>
          <w:i w:val="0"/>
          <w:color w:val="2E6DA4"/>
          <w:sz w:val="26"/>
        </w:rPr>
        <w:t>Audit Outcome</w:t>
      </w:r>
    </w:p>
    <w:p>
      <w:pPr>
        <w:spacing w:after="120"/>
        <w:jc w:val="both"/>
      </w:pPr>
      <w:r>
        <w:rPr>
          <w:rFonts w:ascii="Calibri" w:hAnsi="Calibri"/>
          <w:b w:val="0"/>
          <w:i w:val="0"/>
          <w:color w:val="000000"/>
          <w:sz w:val="21"/>
        </w:rPr>
        <w:t>The Stage 1 assessment identified twenty-one findings across security, agent framework, database, and observability domains. Two are CRITICAL, ten are HIGH, and nine are MEDIUM severity. Six positive findings recognise the platform's architectural strengths. Estimated remediation effort is approximately eight weeks of focused engineering work to complete every CRITICAL and HIGH item, with the MEDIUM items folded into the broader programme.</w:t>
      </w:r>
    </w:p>
    <w:p>
      <w:pPr>
        <w:spacing w:before="200" w:after="80"/>
        <w:outlineLvl w:val="2"/>
      </w:pPr>
      <w:r>
        <w:rPr>
          <w:rFonts w:ascii="Calibri" w:hAnsi="Calibri"/>
          <w:b/>
          <w:i w:val="0"/>
          <w:color w:val="2E6DA4"/>
          <w:sz w:val="26"/>
        </w:rPr>
        <w:t>Critical Items at a Glance</w:t>
      </w:r>
    </w:p>
    <w:p>
      <w:pPr>
        <w:spacing w:after="120"/>
        <w:jc w:val="both"/>
      </w:pPr>
      <w:r>
        <w:rPr>
          <w:rFonts w:ascii="Calibri" w:hAnsi="Calibri"/>
          <w:b w:val="0"/>
          <w:i w:val="0"/>
          <w:color w:val="000000"/>
          <w:sz w:val="21"/>
        </w:rPr>
        <w:t>(1) SSL certificate verification is disabled in MCP-client connections (SEC-01), exposing service-to-service traffic to MITM risk; the fix is a half-day. (2) The Strands SlidingWindowConversationManager is shared across all agent instances (AGT-01), causing concurrent-session corruption under load; the fix is a one-day instancing change. Both should land in the first week of Phase 1.</w:t>
      </w:r>
    </w:p>
    <w:p>
      <w:pPr>
        <w:spacing w:before="200" w:after="80"/>
        <w:outlineLvl w:val="2"/>
      </w:pPr>
      <w:r>
        <w:rPr>
          <w:rFonts w:ascii="Calibri" w:hAnsi="Calibri"/>
          <w:b/>
          <w:i w:val="0"/>
          <w:color w:val="2E6DA4"/>
          <w:sz w:val="26"/>
        </w:rPr>
        <w:t>Strategic Direction</w:t>
      </w:r>
    </w:p>
    <w:p>
      <w:pPr>
        <w:spacing w:after="120"/>
        <w:jc w:val="both"/>
      </w:pPr>
      <w:r>
        <w:rPr>
          <w:rFonts w:ascii="Calibri" w:hAnsi="Calibri"/>
          <w:b w:val="0"/>
          <w:i w:val="0"/>
          <w:color w:val="000000"/>
          <w:sz w:val="21"/>
        </w:rPr>
        <w:t>Beyond the fix list, this document recommends adopting the next-generation architecture set out in CSL_Arch_nextGen.pdf: a CSL-owned Agent Orchestration &amp; Policy Layer that hosts a Supervisor and five specialist agents (Eugene, Research, PubMed, SEC, ClinicalTrials) on AWS Bedrock AgentCore, with AgentCore Runtime, Memory, Gateway, and Observability as the underlying primitives. The authoritative knowledge tier brings together the Eugene Neo4j graph, a Bedrock Knowledge Base for unstructured CSL content, the existing Milvus vector index, SharePoint / Confluence corpora, and controlled-access deal eRooms. Cross-cutting governance is unified under Entra ID SSO with RBAC, Bedrock Guardrails, AWS PrivateLink, KMS, MFA, and 21 CFR Part 11-grade audit logging.</w:t>
      </w:r>
    </w:p>
    <w:p>
      <w:pPr>
        <w:spacing w:before="200" w:after="80"/>
        <w:outlineLvl w:val="2"/>
      </w:pPr>
      <w:r>
        <w:rPr>
          <w:rFonts w:ascii="Calibri" w:hAnsi="Calibri"/>
          <w:b/>
          <w:i w:val="0"/>
          <w:color w:val="2E6DA4"/>
          <w:sz w:val="26"/>
        </w:rPr>
        <w:t>User Experience Direction</w:t>
      </w:r>
    </w:p>
    <w:p>
      <w:pPr>
        <w:spacing w:after="120"/>
        <w:jc w:val="both"/>
      </w:pPr>
      <w:r>
        <w:rPr>
          <w:rFonts w:ascii="Calibri" w:hAnsi="Calibri"/>
          <w:b w:val="0"/>
          <w:i w:val="0"/>
          <w:color w:val="000000"/>
          <w:sz w:val="21"/>
        </w:rPr>
        <w:t>The current Streamlit UI delivers a serviceable chat surface but does not expose Eugene's structural strengths — the graph, the citations, the agent's reasoning trail. The Next.js v2 implementation introduces the right primitives (three-pane layout, Cytoscape graph canvas, evidence and node-detail panels), but its feature surface is incomplete. We propose fifteen concrete enhancements, ranging from conversation export and citation drilldown to a tool-call timeline, agent-decision lineage, and accessibility overhaul. The full set is sized at six to eight engineering weeks and is sequenced inside the Phase 2 / Phase 3 windows.</w:t>
      </w:r>
    </w:p>
    <w:p>
      <w:pPr>
        <w:spacing w:before="200" w:after="80"/>
        <w:outlineLvl w:val="2"/>
      </w:pPr>
      <w:r>
        <w:rPr>
          <w:rFonts w:ascii="Calibri" w:hAnsi="Calibri"/>
          <w:b/>
          <w:i w:val="0"/>
          <w:color w:val="2E6DA4"/>
          <w:sz w:val="26"/>
        </w:rPr>
        <w:t>Phasing</w:t>
      </w:r>
    </w:p>
    <w:p>
      <w:pPr>
        <w:spacing w:after="120"/>
        <w:jc w:val="both"/>
      </w:pPr>
      <w:r>
        <w:rPr>
          <w:rFonts w:ascii="Calibri" w:hAnsi="Calibri"/>
          <w:b w:val="0"/>
          <w:i w:val="0"/>
          <w:color w:val="000000"/>
          <w:sz w:val="21"/>
        </w:rPr>
        <w:t>A four-phase roadmap is proposed. Phase 1 (Weeks 1–4) addresses CRITICAL and HIGH-severity findings. Phase 2 (Weeks 5–8) hardens session management, observability, and the first cohort of UI enhancements. Phase 3 (Weeks 9–12) introduces the supervisor-plus-specialist agent topology, three new specialist tools (PubMed, SEC, ClinicalTrials), and the next-generation graph canvas. Phase 4 (Weeks 13+) deploys Bedrock Knowledge Base for unstructured retrieval, audit lineage, and the final UI accessibility programme.</w:t>
      </w:r>
    </w:p>
    <w:p>
      <w:pPr>
        <w:spacing w:before="200" w:after="80"/>
        <w:outlineLvl w:val="2"/>
      </w:pPr>
      <w:r>
        <w:rPr>
          <w:rFonts w:ascii="Calibri" w:hAnsi="Calibri"/>
          <w:b/>
          <w:i w:val="0"/>
          <w:color w:val="2E6DA4"/>
          <w:sz w:val="26"/>
        </w:rPr>
        <w:t>Investment Targets</w:t>
      </w:r>
    </w:p>
    <w:p>
      <w:pPr>
        <w:spacing w:after="120"/>
        <w:jc w:val="both"/>
      </w:pPr>
      <w:r>
        <w:rPr>
          <w:rFonts w:ascii="Calibri" w:hAnsi="Calibri"/>
          <w:b w:val="0"/>
          <w:i w:val="0"/>
          <w:color w:val="000000"/>
          <w:sz w:val="21"/>
        </w:rPr>
        <w:t>Non-functional targets after the full programme: P50 latency under two seconds for simple queries; P95 under ten seconds for complex multi-hop; one hundred concurrent agents sustained; 99.9 percent availability across AZs; full data residency within the AWS partition; and audit traceability for every agent decision.</w:t>
      </w:r>
    </w:p>
    <w:p>
      <w:r>
        <w:br w:type="page"/>
      </w:r>
    </w:p>
    <w:p>
      <w:pPr>
        <w:spacing w:before="360" w:after="240"/>
        <w:outlineLvl w:val="0"/>
      </w:pPr>
      <w:r>
        <w:rPr>
          <w:rFonts w:ascii="Calibri" w:hAnsi="Calibri"/>
          <w:b/>
          <w:i w:val="0"/>
          <w:color w:val="A6192E"/>
          <w:sz w:val="48"/>
        </w:rPr>
        <w:t>Part I — Audit Findings and Remediation</w:t>
      </w:r>
    </w:p>
    <w:p>
      <w:r>
        <w:br w:type="page"/>
      </w:r>
    </w:p>
    <w:p>
      <w:pPr>
        <w:spacing w:before="280" w:after="160"/>
        <w:outlineLvl w:val="1"/>
      </w:pPr>
      <w:r>
        <w:rPr>
          <w:rFonts w:ascii="Calibri" w:hAnsi="Calibri"/>
          <w:b/>
          <w:i w:val="0"/>
          <w:color w:val="1B3A6B"/>
          <w:sz w:val="34"/>
        </w:rPr>
        <w:t>Audit Method and Scoring</w:t>
      </w:r>
    </w:p>
    <w:p>
      <w:pPr>
        <w:spacing w:before="200" w:after="80"/>
        <w:outlineLvl w:val="2"/>
      </w:pPr>
      <w:r>
        <w:rPr>
          <w:rFonts w:ascii="Calibri" w:hAnsi="Calibri"/>
          <w:b/>
          <w:i w:val="0"/>
          <w:color w:val="2E6DA4"/>
          <w:sz w:val="26"/>
        </w:rPr>
        <w:t>1.1  Scope and Method</w:t>
      </w:r>
    </w:p>
    <w:p>
      <w:pPr>
        <w:spacing w:after="120"/>
        <w:jc w:val="both"/>
      </w:pPr>
      <w:r>
        <w:rPr>
          <w:rFonts w:ascii="Calibri" w:hAnsi="Calibri"/>
          <w:b w:val="0"/>
          <w:i w:val="0"/>
          <w:color w:val="000000"/>
          <w:sz w:val="21"/>
        </w:rPr>
        <w:t>The Stage 1 audit covered architecture, code quality, agent-framework design, security posture, observability maturity, latency, state-synchronisation gaps, and graph-schema completeness. Methods included exhaustive source-code review, live system inspection in the difflabs (Dev) environment, and architectural analysis across all four microservices: eugene_ws, eugene-agent-ws, eugene-mcp, and eugene-agent-ui. Findings were classified by severity (CRITICAL, HIGH, MEDIUM) using a likelihood × impact matrix.</w:t>
      </w:r>
    </w:p>
    <w:p>
      <w:pPr>
        <w:spacing w:before="200" w:after="80"/>
        <w:outlineLvl w:val="2"/>
      </w:pPr>
      <w:r>
        <w:rPr>
          <w:rFonts w:ascii="Calibri" w:hAnsi="Calibri"/>
          <w:b/>
          <w:i w:val="0"/>
          <w:color w:val="2E6DA4"/>
          <w:sz w:val="26"/>
        </w:rPr>
        <w:t>1.2  Severity Definitions</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Severity</w:t>
            </w:r>
          </w:p>
        </w:tc>
        <w:tc>
          <w:tcPr>
            <w:tcW w:type="dxa" w:w="3324"/>
            <w:shd w:val="clear" w:color="auto" w:fill="1B3A6B"/>
            <w:vAlign w:val="top"/>
          </w:tcPr>
          <w:p>
            <w:r/>
            <w:r>
              <w:rPr>
                <w:rFonts w:ascii="Calibri" w:hAnsi="Calibri"/>
                <w:b/>
                <w:i w:val="0"/>
                <w:color w:val="FFFFFF"/>
                <w:sz w:val="18"/>
              </w:rPr>
              <w:t>Definition</w:t>
            </w:r>
          </w:p>
        </w:tc>
        <w:tc>
          <w:tcPr>
            <w:tcW w:type="dxa" w:w="3324"/>
            <w:shd w:val="clear" w:color="auto" w:fill="1B3A6B"/>
            <w:vAlign w:val="top"/>
          </w:tcPr>
          <w:p>
            <w:r/>
            <w:r>
              <w:rPr>
                <w:rFonts w:ascii="Calibri" w:hAnsi="Calibri"/>
                <w:b/>
                <w:i w:val="0"/>
                <w:color w:val="FFFFFF"/>
                <w:sz w:val="18"/>
              </w:rPr>
              <w:t>Programme placement</w:t>
            </w:r>
          </w:p>
        </w:tc>
      </w:tr>
      <w:tr>
        <w:tc>
          <w:tcPr>
            <w:tcW w:type="dxa" w:w="3324"/>
            <w:vAlign w:val="top"/>
          </w:tcPr>
          <w:p>
            <w:r/>
            <w:r>
              <w:rPr>
                <w:rFonts w:ascii="Calibri" w:hAnsi="Calibri"/>
                <w:b w:val="0"/>
                <w:i w:val="0"/>
                <w:color w:val="000000"/>
                <w:sz w:val="18"/>
              </w:rPr>
              <w:t>CRITICAL</w:t>
            </w:r>
          </w:p>
        </w:tc>
        <w:tc>
          <w:tcPr>
            <w:tcW w:type="dxa" w:w="3324"/>
            <w:vAlign w:val="top"/>
          </w:tcPr>
          <w:p>
            <w:r/>
            <w:r>
              <w:rPr>
                <w:rFonts w:ascii="Calibri" w:hAnsi="Calibri"/>
                <w:b w:val="0"/>
                <w:i w:val="0"/>
                <w:color w:val="000000"/>
                <w:sz w:val="18"/>
              </w:rPr>
              <w:t>Active or imminent data integrity / security risk; fix immediately.</w:t>
            </w:r>
          </w:p>
        </w:tc>
        <w:tc>
          <w:tcPr>
            <w:tcW w:type="dxa" w:w="3324"/>
            <w:vAlign w:val="top"/>
          </w:tcPr>
          <w:p>
            <w:r/>
            <w:r>
              <w:rPr>
                <w:rFonts w:ascii="Calibri" w:hAnsi="Calibri"/>
                <w:b w:val="0"/>
                <w:i w:val="0"/>
                <w:color w:val="000000"/>
                <w:sz w:val="18"/>
              </w:rPr>
              <w:t>Phase 1 — Week 1</w:t>
            </w:r>
          </w:p>
        </w:tc>
      </w:tr>
      <w:tr>
        <w:tc>
          <w:tcPr>
            <w:tcW w:type="dxa" w:w="3324"/>
            <w:vAlign w:val="top"/>
          </w:tcPr>
          <w:p>
            <w:r/>
            <w:r>
              <w:rPr>
                <w:rFonts w:ascii="Calibri" w:hAnsi="Calibri"/>
                <w:b w:val="0"/>
                <w:i w:val="0"/>
                <w:color w:val="000000"/>
                <w:sz w:val="18"/>
              </w:rPr>
              <w:t>HIGH</w:t>
            </w:r>
          </w:p>
        </w:tc>
        <w:tc>
          <w:tcPr>
            <w:tcW w:type="dxa" w:w="3324"/>
            <w:vAlign w:val="top"/>
          </w:tcPr>
          <w:p>
            <w:r/>
            <w:r>
              <w:rPr>
                <w:rFonts w:ascii="Calibri" w:hAnsi="Calibri"/>
                <w:b w:val="0"/>
                <w:i w:val="0"/>
                <w:color w:val="000000"/>
                <w:sz w:val="18"/>
              </w:rPr>
              <w:t>Material risk to availability, correctness, or compliance.</w:t>
            </w:r>
          </w:p>
        </w:tc>
        <w:tc>
          <w:tcPr>
            <w:tcW w:type="dxa" w:w="3324"/>
            <w:vAlign w:val="top"/>
          </w:tcPr>
          <w:p>
            <w:r/>
            <w:r>
              <w:rPr>
                <w:rFonts w:ascii="Calibri" w:hAnsi="Calibri"/>
                <w:b w:val="0"/>
                <w:i w:val="0"/>
                <w:color w:val="000000"/>
                <w:sz w:val="18"/>
              </w:rPr>
              <w:t>Phase 1 — Weeks 1–4</w:t>
            </w:r>
          </w:p>
        </w:tc>
      </w:tr>
      <w:tr>
        <w:tc>
          <w:tcPr>
            <w:tcW w:type="dxa" w:w="3324"/>
            <w:vAlign w:val="top"/>
          </w:tcPr>
          <w:p>
            <w:r/>
            <w:r>
              <w:rPr>
                <w:rFonts w:ascii="Calibri" w:hAnsi="Calibri"/>
                <w:b w:val="0"/>
                <w:i w:val="0"/>
                <w:color w:val="000000"/>
                <w:sz w:val="18"/>
              </w:rPr>
              <w:t>MEDIUM</w:t>
            </w:r>
          </w:p>
        </w:tc>
        <w:tc>
          <w:tcPr>
            <w:tcW w:type="dxa" w:w="3324"/>
            <w:vAlign w:val="top"/>
          </w:tcPr>
          <w:p>
            <w:r/>
            <w:r>
              <w:rPr>
                <w:rFonts w:ascii="Calibri" w:hAnsi="Calibri"/>
                <w:b w:val="0"/>
                <w:i w:val="0"/>
                <w:color w:val="000000"/>
                <w:sz w:val="18"/>
              </w:rPr>
              <w:t>Operational or maturity gap; reduces robustness over time.</w:t>
            </w:r>
          </w:p>
        </w:tc>
        <w:tc>
          <w:tcPr>
            <w:tcW w:type="dxa" w:w="3324"/>
            <w:vAlign w:val="top"/>
          </w:tcPr>
          <w:p>
            <w:r/>
            <w:r>
              <w:rPr>
                <w:rFonts w:ascii="Calibri" w:hAnsi="Calibri"/>
                <w:b w:val="0"/>
                <w:i w:val="0"/>
                <w:color w:val="000000"/>
                <w:sz w:val="18"/>
              </w:rPr>
              <w:t>Phases 2 / 3</w:t>
            </w:r>
          </w:p>
        </w:tc>
      </w:tr>
    </w:tbl>
    <w:p/>
    <w:p>
      <w:pPr>
        <w:spacing w:before="200" w:after="80"/>
        <w:outlineLvl w:val="2"/>
      </w:pPr>
      <w:r>
        <w:rPr>
          <w:rFonts w:ascii="Calibri" w:hAnsi="Calibri"/>
          <w:b/>
          <w:i w:val="0"/>
          <w:color w:val="2E6DA4"/>
          <w:sz w:val="26"/>
        </w:rPr>
        <w:t>1.3  Effort Estimates</w:t>
      </w:r>
    </w:p>
    <w:p>
      <w:pPr>
        <w:spacing w:after="120"/>
        <w:jc w:val="both"/>
      </w:pPr>
      <w:r>
        <w:rPr>
          <w:rFonts w:ascii="Calibri" w:hAnsi="Calibri"/>
          <w:b w:val="0"/>
          <w:i w:val="0"/>
          <w:color w:val="000000"/>
          <w:sz w:val="21"/>
        </w:rPr>
        <w:t>Effort is reported in engineering days as a single-developer estimate. The full backlog (CRITICAL + HIGH + MEDIUM) sums to approximately thirty-one days of focused work, comfortably accommodated inside the eight-week Phase 1 + Phase 2 envelope when parallelised across two to three engineers.</w:t>
      </w:r>
    </w:p>
    <w:p>
      <w:pPr>
        <w:spacing w:before="280" w:after="160"/>
        <w:outlineLvl w:val="1"/>
      </w:pPr>
      <w:r>
        <w:rPr>
          <w:rFonts w:ascii="Calibri" w:hAnsi="Calibri"/>
          <w:b/>
          <w:i w:val="0"/>
          <w:color w:val="1B3A6B"/>
          <w:sz w:val="34"/>
        </w:rPr>
        <w:t>Critical Findings</w:t>
      </w:r>
    </w:p>
    <w:p>
      <w:pPr>
        <w:spacing w:after="120"/>
        <w:jc w:val="both"/>
      </w:pPr>
      <w:r>
        <w:rPr>
          <w:rFonts w:ascii="Calibri" w:hAnsi="Calibri"/>
          <w:b w:val="0"/>
          <w:i w:val="0"/>
          <w:color w:val="000000"/>
          <w:sz w:val="21"/>
        </w:rPr>
        <w:t>Two CRITICAL findings dominate Phase 1. Both are fixable in a day or less; both should land before any further functional work is committed.</w:t>
      </w:r>
    </w:p>
    <w:p>
      <w:pPr>
        <w:spacing w:before="160" w:after="60"/>
        <w:outlineLvl w:val="3"/>
      </w:pPr>
      <w:r>
        <w:rPr>
          <w:rFonts w:ascii="Calibri" w:hAnsi="Calibri"/>
          <w:b/>
          <w:i w:val="0"/>
          <w:color w:val="00897B"/>
          <w:sz w:val="22"/>
        </w:rPr>
        <w:t>2.1  SEC-01  SSL verification disabled in MCP client</w:t>
      </w:r>
    </w:p>
    <w:p>
      <w:pPr>
        <w:spacing w:after="120"/>
        <w:jc w:val="both"/>
      </w:pPr>
      <w:r>
        <w:rPr>
          <w:rFonts w:ascii="Calibri" w:hAnsi="Calibri"/>
          <w:b w:val="0"/>
          <w:i w:val="0"/>
          <w:color w:val="000000"/>
          <w:sz w:val="21"/>
        </w:rPr>
        <w:t>The Agent Backend's MCP client is configured with verify=False on its httpx connection to the MCP server. In the difflabs and AIA environments, this means service-to-service traffic between the agent and MCP tiers is vulnerable to man-in-the-middle interception. The remediation is to set verify=True and, for self-signed development certificates, supply a cert path. Estimated effort: 0.5 day.</w:t>
      </w:r>
    </w:p>
    <w:p>
      <w:pPr>
        <w:spacing w:before="160" w:after="60"/>
        <w:outlineLvl w:val="3"/>
      </w:pPr>
      <w:r>
        <w:rPr>
          <w:rFonts w:ascii="Calibri" w:hAnsi="Calibri"/>
          <w:b/>
          <w:i w:val="0"/>
          <w:color w:val="00897B"/>
          <w:sz w:val="22"/>
        </w:rPr>
        <w:t>2.2  AGT-01  Shared SlidingWindowConversationManager</w:t>
      </w:r>
    </w:p>
    <w:p>
      <w:pPr>
        <w:spacing w:after="120"/>
        <w:jc w:val="both"/>
      </w:pPr>
      <w:r>
        <w:rPr>
          <w:rFonts w:ascii="Calibri" w:hAnsi="Calibri"/>
          <w:b w:val="0"/>
          <w:i w:val="0"/>
          <w:color w:val="000000"/>
          <w:sz w:val="21"/>
        </w:rPr>
        <w:t>A single SlidingWindowConversationManager instance is shared across all agent instances in the agent-ws process. Under concurrent load, the manager's internal state can interleave between sessions, leading to incorrect conversation history and contaminated reasoning. The remediation is to instantiate the manager per conversation rather than per service. Estimated effort: 1 day.</w:t>
      </w:r>
    </w:p>
    <w:tbl>
      <w:tblPr>
        <w:tblStyle w:val="LightGrid-Accent1"/>
        <w:tblW w:type="auto" w:w="0"/>
        <w:jc w:val="center"/>
        <w:tblLook w:firstColumn="1" w:firstRow="1" w:lastColumn="0" w:lastRow="0" w:noHBand="0" w:noVBand="1" w:val="04A0"/>
      </w:tblPr>
      <w:tblGrid>
        <w:gridCol w:w="1994"/>
        <w:gridCol w:w="1994"/>
        <w:gridCol w:w="1994"/>
        <w:gridCol w:w="1994"/>
        <w:gridCol w:w="1994"/>
      </w:tblGrid>
      <w:tr>
        <w:tc>
          <w:tcPr>
            <w:tcW w:type="dxa" w:w="1994"/>
            <w:shd w:val="clear" w:color="auto" w:fill="A6192E"/>
            <w:vAlign w:val="top"/>
          </w:tcPr>
          <w:p>
            <w:r/>
            <w:r>
              <w:rPr>
                <w:rFonts w:ascii="Calibri" w:hAnsi="Calibri"/>
                <w:b/>
                <w:i w:val="0"/>
                <w:color w:val="FFFFFF"/>
                <w:sz w:val="18"/>
              </w:rPr>
              <w:t>ID</w:t>
            </w:r>
          </w:p>
        </w:tc>
        <w:tc>
          <w:tcPr>
            <w:tcW w:type="dxa" w:w="1994"/>
            <w:shd w:val="clear" w:color="auto" w:fill="A6192E"/>
            <w:vAlign w:val="top"/>
          </w:tcPr>
          <w:p>
            <w:r/>
            <w:r>
              <w:rPr>
                <w:rFonts w:ascii="Calibri" w:hAnsi="Calibri"/>
                <w:b/>
                <w:i w:val="0"/>
                <w:color w:val="FFFFFF"/>
                <w:sz w:val="18"/>
              </w:rPr>
              <w:t>Title</w:t>
            </w:r>
          </w:p>
        </w:tc>
        <w:tc>
          <w:tcPr>
            <w:tcW w:type="dxa" w:w="1994"/>
            <w:shd w:val="clear" w:color="auto" w:fill="A6192E"/>
            <w:vAlign w:val="top"/>
          </w:tcPr>
          <w:p>
            <w:r/>
            <w:r>
              <w:rPr>
                <w:rFonts w:ascii="Calibri" w:hAnsi="Calibri"/>
                <w:b/>
                <w:i w:val="0"/>
                <w:color w:val="FFFFFF"/>
                <w:sz w:val="18"/>
              </w:rPr>
              <w:t>Description</w:t>
            </w:r>
          </w:p>
        </w:tc>
        <w:tc>
          <w:tcPr>
            <w:tcW w:type="dxa" w:w="1994"/>
            <w:shd w:val="clear" w:color="auto" w:fill="A6192E"/>
            <w:vAlign w:val="top"/>
          </w:tcPr>
          <w:p>
            <w:r/>
            <w:r>
              <w:rPr>
                <w:rFonts w:ascii="Calibri" w:hAnsi="Calibri"/>
                <w:b/>
                <w:i w:val="0"/>
                <w:color w:val="FFFFFF"/>
                <w:sz w:val="18"/>
              </w:rPr>
              <w:t>Remediation</w:t>
            </w:r>
          </w:p>
        </w:tc>
        <w:tc>
          <w:tcPr>
            <w:tcW w:type="dxa" w:w="1994"/>
            <w:shd w:val="clear" w:color="auto" w:fill="A6192E"/>
            <w:vAlign w:val="top"/>
          </w:tcPr>
          <w:p>
            <w:r/>
            <w:r>
              <w:rPr>
                <w:rFonts w:ascii="Calibri" w:hAnsi="Calibri"/>
                <w:b/>
                <w:i w:val="0"/>
                <w:color w:val="FFFFFF"/>
                <w:sz w:val="18"/>
              </w:rPr>
              <w:t>Effort</w:t>
            </w:r>
          </w:p>
        </w:tc>
      </w:tr>
      <w:tr>
        <w:tc>
          <w:tcPr>
            <w:tcW w:type="dxa" w:w="1994"/>
            <w:vAlign w:val="top"/>
          </w:tcPr>
          <w:p>
            <w:r/>
            <w:r>
              <w:rPr>
                <w:rFonts w:ascii="Calibri" w:hAnsi="Calibri"/>
                <w:b w:val="0"/>
                <w:i w:val="0"/>
                <w:color w:val="000000"/>
                <w:sz w:val="18"/>
              </w:rPr>
              <w:t>SEC-01</w:t>
            </w:r>
          </w:p>
        </w:tc>
        <w:tc>
          <w:tcPr>
            <w:tcW w:type="dxa" w:w="1994"/>
            <w:vAlign w:val="top"/>
          </w:tcPr>
          <w:p>
            <w:r/>
            <w:r>
              <w:rPr>
                <w:rFonts w:ascii="Calibri" w:hAnsi="Calibri"/>
                <w:b w:val="0"/>
                <w:i w:val="0"/>
                <w:color w:val="000000"/>
                <w:sz w:val="18"/>
              </w:rPr>
              <w:t>SSL verification disabled in MCP client</w:t>
            </w:r>
          </w:p>
        </w:tc>
        <w:tc>
          <w:tcPr>
            <w:tcW w:type="dxa" w:w="1994"/>
            <w:vAlign w:val="top"/>
          </w:tcPr>
          <w:p>
            <w:r/>
            <w:r>
              <w:rPr>
                <w:rFonts w:ascii="Calibri" w:hAnsi="Calibri"/>
                <w:b w:val="0"/>
                <w:i w:val="0"/>
                <w:color w:val="000000"/>
                <w:sz w:val="18"/>
              </w:rPr>
              <w:t>verify=False on httpx; service-to-service traffic vulnerable to MITM.</w:t>
            </w:r>
          </w:p>
        </w:tc>
        <w:tc>
          <w:tcPr>
            <w:tcW w:type="dxa" w:w="1994"/>
            <w:vAlign w:val="top"/>
          </w:tcPr>
          <w:p>
            <w:r/>
            <w:r>
              <w:rPr>
                <w:rFonts w:ascii="Calibri" w:hAnsi="Calibri"/>
                <w:b w:val="0"/>
                <w:i w:val="0"/>
                <w:color w:val="000000"/>
                <w:sz w:val="18"/>
              </w:rPr>
              <w:t>Set verify=True; pass cert path for self-signed dev certs.</w:t>
            </w:r>
          </w:p>
        </w:tc>
        <w:tc>
          <w:tcPr>
            <w:tcW w:type="dxa" w:w="1994"/>
            <w:vAlign w:val="top"/>
          </w:tcPr>
          <w:p>
            <w:r/>
            <w:r>
              <w:rPr>
                <w:rFonts w:ascii="Calibri" w:hAnsi="Calibri"/>
                <w:b w:val="0"/>
                <w:i w:val="0"/>
                <w:color w:val="000000"/>
                <w:sz w:val="18"/>
              </w:rPr>
              <w:t>0.5 day</w:t>
            </w:r>
          </w:p>
        </w:tc>
      </w:tr>
      <w:tr>
        <w:tc>
          <w:tcPr>
            <w:tcW w:type="dxa" w:w="1994"/>
            <w:vAlign w:val="top"/>
          </w:tcPr>
          <w:p>
            <w:r/>
            <w:r>
              <w:rPr>
                <w:rFonts w:ascii="Calibri" w:hAnsi="Calibri"/>
                <w:b w:val="0"/>
                <w:i w:val="0"/>
                <w:color w:val="000000"/>
                <w:sz w:val="18"/>
              </w:rPr>
              <w:t>AGT-01</w:t>
            </w:r>
          </w:p>
        </w:tc>
        <w:tc>
          <w:tcPr>
            <w:tcW w:type="dxa" w:w="1994"/>
            <w:vAlign w:val="top"/>
          </w:tcPr>
          <w:p>
            <w:r/>
            <w:r>
              <w:rPr>
                <w:rFonts w:ascii="Calibri" w:hAnsi="Calibri"/>
                <w:b w:val="0"/>
                <w:i w:val="0"/>
                <w:color w:val="000000"/>
                <w:sz w:val="18"/>
              </w:rPr>
              <w:t>Shared SlidingWindowConversationManager — race condition</w:t>
            </w:r>
          </w:p>
        </w:tc>
        <w:tc>
          <w:tcPr>
            <w:tcW w:type="dxa" w:w="1994"/>
            <w:vAlign w:val="top"/>
          </w:tcPr>
          <w:p>
            <w:r/>
            <w:r>
              <w:rPr>
                <w:rFonts w:ascii="Calibri" w:hAnsi="Calibri"/>
                <w:b w:val="0"/>
                <w:i w:val="0"/>
                <w:color w:val="000000"/>
                <w:sz w:val="18"/>
              </w:rPr>
              <w:t>Single manager shared across agent instances corrupts concurrent sessions.</w:t>
            </w:r>
          </w:p>
        </w:tc>
        <w:tc>
          <w:tcPr>
            <w:tcW w:type="dxa" w:w="1994"/>
            <w:vAlign w:val="top"/>
          </w:tcPr>
          <w:p>
            <w:r/>
            <w:r>
              <w:rPr>
                <w:rFonts w:ascii="Calibri" w:hAnsi="Calibri"/>
                <w:b w:val="0"/>
                <w:i w:val="0"/>
                <w:color w:val="000000"/>
                <w:sz w:val="18"/>
              </w:rPr>
              <w:t>Instantiate the manager per conversation, not per service.</w:t>
            </w:r>
          </w:p>
        </w:tc>
        <w:tc>
          <w:tcPr>
            <w:tcW w:type="dxa" w:w="1994"/>
            <w:vAlign w:val="top"/>
          </w:tcPr>
          <w:p>
            <w:r/>
            <w:r>
              <w:rPr>
                <w:rFonts w:ascii="Calibri" w:hAnsi="Calibri"/>
                <w:b w:val="0"/>
                <w:i w:val="0"/>
                <w:color w:val="000000"/>
                <w:sz w:val="18"/>
              </w:rPr>
              <w:t>1 day</w:t>
            </w:r>
          </w:p>
        </w:tc>
      </w:tr>
    </w:tbl>
    <w:p/>
    <w:p>
      <w:pPr>
        <w:spacing w:before="280" w:after="160"/>
        <w:outlineLvl w:val="1"/>
      </w:pPr>
      <w:r>
        <w:rPr>
          <w:rFonts w:ascii="Calibri" w:hAnsi="Calibri"/>
          <w:b/>
          <w:i w:val="0"/>
          <w:color w:val="1B3A6B"/>
          <w:sz w:val="34"/>
        </w:rPr>
        <w:t>High-Severity Findings</w:t>
      </w:r>
    </w:p>
    <w:p>
      <w:pPr>
        <w:spacing w:after="120"/>
        <w:jc w:val="both"/>
      </w:pPr>
      <w:r>
        <w:rPr>
          <w:rFonts w:ascii="Calibri" w:hAnsi="Calibri"/>
          <w:b w:val="0"/>
          <w:i w:val="0"/>
          <w:color w:val="000000"/>
          <w:sz w:val="21"/>
        </w:rPr>
        <w:t>Ten HIGH-severity findings span the agent, security, database, and observability domains. Eight are quick wins (half a day to one day each); two require multi-day effort (rate limiting, structured logging). Together they remove the platform's most acute production risks.</w:t>
      </w:r>
    </w:p>
    <w:tbl>
      <w:tblPr>
        <w:tblStyle w:val="LightGrid-Accent1"/>
        <w:tblW w:type="auto" w:w="0"/>
        <w:jc w:val="center"/>
        <w:tblLook w:firstColumn="1" w:firstRow="1" w:lastColumn="0" w:lastRow="0" w:noHBand="0" w:noVBand="1" w:val="04A0"/>
      </w:tblPr>
      <w:tblGrid>
        <w:gridCol w:w="1994"/>
        <w:gridCol w:w="1994"/>
        <w:gridCol w:w="1994"/>
        <w:gridCol w:w="1994"/>
        <w:gridCol w:w="1994"/>
      </w:tblGrid>
      <w:tr>
        <w:tc>
          <w:tcPr>
            <w:tcW w:type="dxa" w:w="1994"/>
            <w:shd w:val="clear" w:color="auto" w:fill="E65100"/>
            <w:vAlign w:val="top"/>
          </w:tcPr>
          <w:p>
            <w:r/>
            <w:r>
              <w:rPr>
                <w:rFonts w:ascii="Calibri" w:hAnsi="Calibri"/>
                <w:b/>
                <w:i w:val="0"/>
                <w:color w:val="FFFFFF"/>
                <w:sz w:val="18"/>
              </w:rPr>
              <w:t>ID</w:t>
            </w:r>
          </w:p>
        </w:tc>
        <w:tc>
          <w:tcPr>
            <w:tcW w:type="dxa" w:w="1994"/>
            <w:shd w:val="clear" w:color="auto" w:fill="E65100"/>
            <w:vAlign w:val="top"/>
          </w:tcPr>
          <w:p>
            <w:r/>
            <w:r>
              <w:rPr>
                <w:rFonts w:ascii="Calibri" w:hAnsi="Calibri"/>
                <w:b/>
                <w:i w:val="0"/>
                <w:color w:val="FFFFFF"/>
                <w:sz w:val="18"/>
              </w:rPr>
              <w:t>Title</w:t>
            </w:r>
          </w:p>
        </w:tc>
        <w:tc>
          <w:tcPr>
            <w:tcW w:type="dxa" w:w="1994"/>
            <w:shd w:val="clear" w:color="auto" w:fill="E65100"/>
            <w:vAlign w:val="top"/>
          </w:tcPr>
          <w:p>
            <w:r/>
            <w:r>
              <w:rPr>
                <w:rFonts w:ascii="Calibri" w:hAnsi="Calibri"/>
                <w:b/>
                <w:i w:val="0"/>
                <w:color w:val="FFFFFF"/>
                <w:sz w:val="18"/>
              </w:rPr>
              <w:t>Description</w:t>
            </w:r>
          </w:p>
        </w:tc>
        <w:tc>
          <w:tcPr>
            <w:tcW w:type="dxa" w:w="1994"/>
            <w:shd w:val="clear" w:color="auto" w:fill="E65100"/>
            <w:vAlign w:val="top"/>
          </w:tcPr>
          <w:p>
            <w:r/>
            <w:r>
              <w:rPr>
                <w:rFonts w:ascii="Calibri" w:hAnsi="Calibri"/>
                <w:b/>
                <w:i w:val="0"/>
                <w:color w:val="FFFFFF"/>
                <w:sz w:val="18"/>
              </w:rPr>
              <w:t>Remediation</w:t>
            </w:r>
          </w:p>
        </w:tc>
        <w:tc>
          <w:tcPr>
            <w:tcW w:type="dxa" w:w="1994"/>
            <w:shd w:val="clear" w:color="auto" w:fill="E65100"/>
            <w:vAlign w:val="top"/>
          </w:tcPr>
          <w:p>
            <w:r/>
            <w:r>
              <w:rPr>
                <w:rFonts w:ascii="Calibri" w:hAnsi="Calibri"/>
                <w:b/>
                <w:i w:val="0"/>
                <w:color w:val="FFFFFF"/>
                <w:sz w:val="18"/>
              </w:rPr>
              <w:t>Effort</w:t>
            </w:r>
          </w:p>
        </w:tc>
      </w:tr>
      <w:tr>
        <w:tc>
          <w:tcPr>
            <w:tcW w:type="dxa" w:w="1994"/>
            <w:vAlign w:val="top"/>
          </w:tcPr>
          <w:p>
            <w:r/>
            <w:r>
              <w:rPr>
                <w:rFonts w:ascii="Calibri" w:hAnsi="Calibri"/>
                <w:b w:val="0"/>
                <w:i w:val="0"/>
                <w:color w:val="000000"/>
                <w:sz w:val="18"/>
              </w:rPr>
              <w:t>AGT-02</w:t>
            </w:r>
          </w:p>
        </w:tc>
        <w:tc>
          <w:tcPr>
            <w:tcW w:type="dxa" w:w="1994"/>
            <w:vAlign w:val="top"/>
          </w:tcPr>
          <w:p>
            <w:r/>
            <w:r>
              <w:rPr>
                <w:rFonts w:ascii="Calibri" w:hAnsi="Calibri"/>
                <w:b w:val="0"/>
                <w:i w:val="0"/>
                <w:color w:val="000000"/>
                <w:sz w:val="18"/>
              </w:rPr>
              <w:t>Unbounded ReAct loop</w:t>
            </w:r>
          </w:p>
        </w:tc>
        <w:tc>
          <w:tcPr>
            <w:tcW w:type="dxa" w:w="1994"/>
            <w:vAlign w:val="top"/>
          </w:tcPr>
          <w:p>
            <w:r/>
            <w:r>
              <w:rPr>
                <w:rFonts w:ascii="Calibri" w:hAnsi="Calibri"/>
                <w:b w:val="0"/>
                <w:i w:val="0"/>
                <w:color w:val="000000"/>
                <w:sz w:val="18"/>
              </w:rPr>
              <w:t>No max_iterations on agent; can cycle indefinitely on tool calls.</w:t>
            </w:r>
          </w:p>
        </w:tc>
        <w:tc>
          <w:tcPr>
            <w:tcW w:type="dxa" w:w="1994"/>
            <w:vAlign w:val="top"/>
          </w:tcPr>
          <w:p>
            <w:r/>
            <w:r>
              <w:rPr>
                <w:rFonts w:ascii="Calibri" w:hAnsi="Calibri"/>
                <w:b w:val="0"/>
                <w:i w:val="0"/>
                <w:color w:val="000000"/>
                <w:sz w:val="18"/>
              </w:rPr>
              <w:t>Set max_iterations=25 in Agent constructor.</w:t>
            </w:r>
          </w:p>
        </w:tc>
        <w:tc>
          <w:tcPr>
            <w:tcW w:type="dxa" w:w="1994"/>
            <w:vAlign w:val="top"/>
          </w:tcPr>
          <w:p>
            <w:r/>
            <w:r>
              <w:rPr>
                <w:rFonts w:ascii="Calibri" w:hAnsi="Calibri"/>
                <w:b w:val="0"/>
                <w:i w:val="0"/>
                <w:color w:val="000000"/>
                <w:sz w:val="18"/>
              </w:rPr>
              <w:t>0.5 day</w:t>
            </w:r>
          </w:p>
        </w:tc>
      </w:tr>
      <w:tr>
        <w:tc>
          <w:tcPr>
            <w:tcW w:type="dxa" w:w="1994"/>
            <w:vAlign w:val="top"/>
          </w:tcPr>
          <w:p>
            <w:r/>
            <w:r>
              <w:rPr>
                <w:rFonts w:ascii="Calibri" w:hAnsi="Calibri"/>
                <w:b w:val="0"/>
                <w:i w:val="0"/>
                <w:color w:val="000000"/>
                <w:sz w:val="18"/>
              </w:rPr>
              <w:t>AGT-03</w:t>
            </w:r>
          </w:p>
        </w:tc>
        <w:tc>
          <w:tcPr>
            <w:tcW w:type="dxa" w:w="1994"/>
            <w:vAlign w:val="top"/>
          </w:tcPr>
          <w:p>
            <w:r/>
            <w:r>
              <w:rPr>
                <w:rFonts w:ascii="Calibri" w:hAnsi="Calibri"/>
                <w:b w:val="0"/>
                <w:i w:val="0"/>
                <w:color w:val="000000"/>
                <w:sz w:val="18"/>
              </w:rPr>
              <w:t>No agent execution timeout</w:t>
            </w:r>
          </w:p>
        </w:tc>
        <w:tc>
          <w:tcPr>
            <w:tcW w:type="dxa" w:w="1994"/>
            <w:vAlign w:val="top"/>
          </w:tcPr>
          <w:p>
            <w:r/>
            <w:r>
              <w:rPr>
                <w:rFonts w:ascii="Calibri" w:hAnsi="Calibri"/>
                <w:b w:val="0"/>
                <w:i w:val="0"/>
                <w:color w:val="000000"/>
                <w:sz w:val="18"/>
              </w:rPr>
              <w:t>Streaming connections held until client times out (~120s).</w:t>
            </w:r>
          </w:p>
        </w:tc>
        <w:tc>
          <w:tcPr>
            <w:tcW w:type="dxa" w:w="1994"/>
            <w:vAlign w:val="top"/>
          </w:tcPr>
          <w:p>
            <w:r/>
            <w:r>
              <w:rPr>
                <w:rFonts w:ascii="Calibri" w:hAnsi="Calibri"/>
                <w:b w:val="0"/>
                <w:i w:val="0"/>
                <w:color w:val="000000"/>
                <w:sz w:val="18"/>
              </w:rPr>
              <w:t>Wrap stream_async() in asyncio.wait_for(timeout=300).</w:t>
            </w:r>
          </w:p>
        </w:tc>
        <w:tc>
          <w:tcPr>
            <w:tcW w:type="dxa" w:w="1994"/>
            <w:vAlign w:val="top"/>
          </w:tcPr>
          <w:p>
            <w:r/>
            <w:r>
              <w:rPr>
                <w:rFonts w:ascii="Calibri" w:hAnsi="Calibri"/>
                <w:b w:val="0"/>
                <w:i w:val="0"/>
                <w:color w:val="000000"/>
                <w:sz w:val="18"/>
              </w:rPr>
              <w:t>0.5 day</w:t>
            </w:r>
          </w:p>
        </w:tc>
      </w:tr>
      <w:tr>
        <w:tc>
          <w:tcPr>
            <w:tcW w:type="dxa" w:w="1994"/>
            <w:vAlign w:val="top"/>
          </w:tcPr>
          <w:p>
            <w:r/>
            <w:r>
              <w:rPr>
                <w:rFonts w:ascii="Calibri" w:hAnsi="Calibri"/>
                <w:b w:val="0"/>
                <w:i w:val="0"/>
                <w:color w:val="000000"/>
                <w:sz w:val="18"/>
              </w:rPr>
              <w:t>AGT-04</w:t>
            </w:r>
          </w:p>
        </w:tc>
        <w:tc>
          <w:tcPr>
            <w:tcW w:type="dxa" w:w="1994"/>
            <w:vAlign w:val="top"/>
          </w:tcPr>
          <w:p>
            <w:r/>
            <w:r>
              <w:rPr>
                <w:rFonts w:ascii="Calibri" w:hAnsi="Calibri"/>
                <w:b w:val="0"/>
                <w:i w:val="0"/>
                <w:color w:val="000000"/>
                <w:sz w:val="18"/>
              </w:rPr>
              <w:t>Anthropic LLM client timeout not configured</w:t>
            </w:r>
          </w:p>
        </w:tc>
        <w:tc>
          <w:tcPr>
            <w:tcW w:type="dxa" w:w="1994"/>
            <w:vAlign w:val="top"/>
          </w:tcPr>
          <w:p>
            <w:r/>
            <w:r>
              <w:rPr>
                <w:rFonts w:ascii="Calibri" w:hAnsi="Calibri"/>
                <w:b w:val="0"/>
                <w:i w:val="0"/>
                <w:color w:val="000000"/>
                <w:sz w:val="18"/>
              </w:rPr>
              <w:t>OpenAI client has 60s timeout; Anthropic has none.</w:t>
            </w:r>
          </w:p>
        </w:tc>
        <w:tc>
          <w:tcPr>
            <w:tcW w:type="dxa" w:w="1994"/>
            <w:vAlign w:val="top"/>
          </w:tcPr>
          <w:p>
            <w:r/>
            <w:r>
              <w:rPr>
                <w:rFonts w:ascii="Calibri" w:hAnsi="Calibri"/>
                <w:b w:val="0"/>
                <w:i w:val="0"/>
                <w:color w:val="000000"/>
                <w:sz w:val="18"/>
              </w:rPr>
              <w:t>Pass timeout=60.0 to the Anthropic model configuration.</w:t>
            </w:r>
          </w:p>
        </w:tc>
        <w:tc>
          <w:tcPr>
            <w:tcW w:type="dxa" w:w="1994"/>
            <w:vAlign w:val="top"/>
          </w:tcPr>
          <w:p>
            <w:r/>
            <w:r>
              <w:rPr>
                <w:rFonts w:ascii="Calibri" w:hAnsi="Calibri"/>
                <w:b w:val="0"/>
                <w:i w:val="0"/>
                <w:color w:val="000000"/>
                <w:sz w:val="18"/>
              </w:rPr>
              <w:t>0.5 day</w:t>
            </w:r>
          </w:p>
        </w:tc>
      </w:tr>
      <w:tr>
        <w:tc>
          <w:tcPr>
            <w:tcW w:type="dxa" w:w="1994"/>
            <w:vAlign w:val="top"/>
          </w:tcPr>
          <w:p>
            <w:r/>
            <w:r>
              <w:rPr>
                <w:rFonts w:ascii="Calibri" w:hAnsi="Calibri"/>
                <w:b w:val="0"/>
                <w:i w:val="0"/>
                <w:color w:val="000000"/>
                <w:sz w:val="18"/>
              </w:rPr>
              <w:t>AGT-05</w:t>
            </w:r>
          </w:p>
        </w:tc>
        <w:tc>
          <w:tcPr>
            <w:tcW w:type="dxa" w:w="1994"/>
            <w:vAlign w:val="top"/>
          </w:tcPr>
          <w:p>
            <w:r/>
            <w:r>
              <w:rPr>
                <w:rFonts w:ascii="Calibri" w:hAnsi="Calibri"/>
                <w:b w:val="0"/>
                <w:i w:val="0"/>
                <w:color w:val="000000"/>
                <w:sz w:val="18"/>
              </w:rPr>
              <w:t>python_repl tool always loaded</w:t>
            </w:r>
          </w:p>
        </w:tc>
        <w:tc>
          <w:tcPr>
            <w:tcW w:type="dxa" w:w="1994"/>
            <w:vAlign w:val="top"/>
          </w:tcPr>
          <w:p>
            <w:r/>
            <w:r>
              <w:rPr>
                <w:rFonts w:ascii="Calibri" w:hAnsi="Calibri"/>
                <w:b w:val="0"/>
                <w:i w:val="0"/>
                <w:color w:val="000000"/>
                <w:sz w:val="18"/>
              </w:rPr>
              <w:t>LLM has access to arbitrary code execution by default.</w:t>
            </w:r>
          </w:p>
        </w:tc>
        <w:tc>
          <w:tcPr>
            <w:tcW w:type="dxa" w:w="1994"/>
            <w:vAlign w:val="top"/>
          </w:tcPr>
          <w:p>
            <w:r/>
            <w:r>
              <w:rPr>
                <w:rFonts w:ascii="Calibri" w:hAnsi="Calibri"/>
                <w:b w:val="0"/>
                <w:i w:val="0"/>
                <w:color w:val="000000"/>
                <w:sz w:val="18"/>
              </w:rPr>
              <w:t>Make python_repl opt-in; disable in production.</w:t>
            </w:r>
          </w:p>
        </w:tc>
        <w:tc>
          <w:tcPr>
            <w:tcW w:type="dxa" w:w="1994"/>
            <w:vAlign w:val="top"/>
          </w:tcPr>
          <w:p>
            <w:r/>
            <w:r>
              <w:rPr>
                <w:rFonts w:ascii="Calibri" w:hAnsi="Calibri"/>
                <w:b w:val="0"/>
                <w:i w:val="0"/>
                <w:color w:val="000000"/>
                <w:sz w:val="18"/>
              </w:rPr>
              <w:t>0.5 day</w:t>
            </w:r>
          </w:p>
        </w:tc>
      </w:tr>
      <w:tr>
        <w:tc>
          <w:tcPr>
            <w:tcW w:type="dxa" w:w="1994"/>
            <w:vAlign w:val="top"/>
          </w:tcPr>
          <w:p>
            <w:r/>
            <w:r>
              <w:rPr>
                <w:rFonts w:ascii="Calibri" w:hAnsi="Calibri"/>
                <w:b w:val="0"/>
                <w:i w:val="0"/>
                <w:color w:val="000000"/>
                <w:sz w:val="18"/>
              </w:rPr>
              <w:t>SEC-02</w:t>
            </w:r>
          </w:p>
        </w:tc>
        <w:tc>
          <w:tcPr>
            <w:tcW w:type="dxa" w:w="1994"/>
            <w:vAlign w:val="top"/>
          </w:tcPr>
          <w:p>
            <w:r/>
            <w:r>
              <w:rPr>
                <w:rFonts w:ascii="Calibri" w:hAnsi="Calibri"/>
                <w:b w:val="0"/>
                <w:i w:val="0"/>
                <w:color w:val="000000"/>
                <w:sz w:val="18"/>
              </w:rPr>
              <w:t>Allowlist raises generic Exception</w:t>
            </w:r>
          </w:p>
        </w:tc>
        <w:tc>
          <w:tcPr>
            <w:tcW w:type="dxa" w:w="1994"/>
            <w:vAlign w:val="top"/>
          </w:tcPr>
          <w:p>
            <w:r/>
            <w:r>
              <w:rPr>
                <w:rFonts w:ascii="Calibri" w:hAnsi="Calibri"/>
                <w:b w:val="0"/>
                <w:i w:val="0"/>
                <w:color w:val="000000"/>
                <w:sz w:val="18"/>
              </w:rPr>
              <w:t>Causes HTTP 500 instead of 403; leaks stack to clients.</w:t>
            </w:r>
          </w:p>
        </w:tc>
        <w:tc>
          <w:tcPr>
            <w:tcW w:type="dxa" w:w="1994"/>
            <w:vAlign w:val="top"/>
          </w:tcPr>
          <w:p>
            <w:r/>
            <w:r>
              <w:rPr>
                <w:rFonts w:ascii="Calibri" w:hAnsi="Calibri"/>
                <w:b w:val="0"/>
                <w:i w:val="0"/>
                <w:color w:val="000000"/>
                <w:sz w:val="18"/>
              </w:rPr>
              <w:t>Raise HTTPException(status_code=403, detail='Access denied').</w:t>
            </w:r>
          </w:p>
        </w:tc>
        <w:tc>
          <w:tcPr>
            <w:tcW w:type="dxa" w:w="1994"/>
            <w:vAlign w:val="top"/>
          </w:tcPr>
          <w:p>
            <w:r/>
            <w:r>
              <w:rPr>
                <w:rFonts w:ascii="Calibri" w:hAnsi="Calibri"/>
                <w:b w:val="0"/>
                <w:i w:val="0"/>
                <w:color w:val="000000"/>
                <w:sz w:val="18"/>
              </w:rPr>
              <w:t>0.5 day</w:t>
            </w:r>
          </w:p>
        </w:tc>
      </w:tr>
      <w:tr>
        <w:tc>
          <w:tcPr>
            <w:tcW w:type="dxa" w:w="1994"/>
            <w:vAlign w:val="top"/>
          </w:tcPr>
          <w:p>
            <w:r/>
            <w:r>
              <w:rPr>
                <w:rFonts w:ascii="Calibri" w:hAnsi="Calibri"/>
                <w:b w:val="0"/>
                <w:i w:val="0"/>
                <w:color w:val="000000"/>
                <w:sz w:val="18"/>
              </w:rPr>
              <w:t>SEC-03</w:t>
            </w:r>
          </w:p>
        </w:tc>
        <w:tc>
          <w:tcPr>
            <w:tcW w:type="dxa" w:w="1994"/>
            <w:vAlign w:val="top"/>
          </w:tcPr>
          <w:p>
            <w:r/>
            <w:r>
              <w:rPr>
                <w:rFonts w:ascii="Calibri" w:hAnsi="Calibri"/>
                <w:b w:val="0"/>
                <w:i w:val="0"/>
                <w:color w:val="000000"/>
                <w:sz w:val="18"/>
              </w:rPr>
              <w:t>No rate limiting on any endpoint</w:t>
            </w:r>
          </w:p>
        </w:tc>
        <w:tc>
          <w:tcPr>
            <w:tcW w:type="dxa" w:w="1994"/>
            <w:vAlign w:val="top"/>
          </w:tcPr>
          <w:p>
            <w:r/>
            <w:r>
              <w:rPr>
                <w:rFonts w:ascii="Calibri" w:hAnsi="Calibri"/>
                <w:b w:val="0"/>
                <w:i w:val="0"/>
                <w:color w:val="000000"/>
                <w:sz w:val="18"/>
              </w:rPr>
              <w:t>Unlimited concurrent requests; DoS / cost exposure.</w:t>
            </w:r>
          </w:p>
        </w:tc>
        <w:tc>
          <w:tcPr>
            <w:tcW w:type="dxa" w:w="1994"/>
            <w:vAlign w:val="top"/>
          </w:tcPr>
          <w:p>
            <w:r/>
            <w:r>
              <w:rPr>
                <w:rFonts w:ascii="Calibri" w:hAnsi="Calibri"/>
                <w:b w:val="0"/>
                <w:i w:val="0"/>
                <w:color w:val="000000"/>
                <w:sz w:val="18"/>
              </w:rPr>
              <w:t>Add slowapi: 100 req/min per IP; 10 sessions per user.</w:t>
            </w:r>
          </w:p>
        </w:tc>
        <w:tc>
          <w:tcPr>
            <w:tcW w:type="dxa" w:w="1994"/>
            <w:vAlign w:val="top"/>
          </w:tcPr>
          <w:p>
            <w:r/>
            <w:r>
              <w:rPr>
                <w:rFonts w:ascii="Calibri" w:hAnsi="Calibri"/>
                <w:b w:val="0"/>
                <w:i w:val="0"/>
                <w:color w:val="000000"/>
                <w:sz w:val="18"/>
              </w:rPr>
              <w:t>2 days</w:t>
            </w:r>
          </w:p>
        </w:tc>
      </w:tr>
      <w:tr>
        <w:tc>
          <w:tcPr>
            <w:tcW w:type="dxa" w:w="1994"/>
            <w:vAlign w:val="top"/>
          </w:tcPr>
          <w:p>
            <w:r/>
            <w:r>
              <w:rPr>
                <w:rFonts w:ascii="Calibri" w:hAnsi="Calibri"/>
                <w:b w:val="0"/>
                <w:i w:val="0"/>
                <w:color w:val="000000"/>
                <w:sz w:val="18"/>
              </w:rPr>
              <w:t>DB-01</w:t>
            </w:r>
          </w:p>
        </w:tc>
        <w:tc>
          <w:tcPr>
            <w:tcW w:type="dxa" w:w="1994"/>
            <w:vAlign w:val="top"/>
          </w:tcPr>
          <w:p>
            <w:r/>
            <w:r>
              <w:rPr>
                <w:rFonts w:ascii="Calibri" w:hAnsi="Calibri"/>
                <w:b w:val="0"/>
                <w:i w:val="0"/>
                <w:color w:val="000000"/>
                <w:sz w:val="18"/>
              </w:rPr>
              <w:t>No Neo4j query timeout</w:t>
            </w:r>
          </w:p>
        </w:tc>
        <w:tc>
          <w:tcPr>
            <w:tcW w:type="dxa" w:w="1994"/>
            <w:vAlign w:val="top"/>
          </w:tcPr>
          <w:p>
            <w:r/>
            <w:r>
              <w:rPr>
                <w:rFonts w:ascii="Calibri" w:hAnsi="Calibri"/>
                <w:b w:val="0"/>
                <w:i w:val="0"/>
                <w:color w:val="000000"/>
                <w:sz w:val="18"/>
              </w:rPr>
              <w:t>Driver initialised without socket_keepalive or transaction timeout.</w:t>
            </w:r>
          </w:p>
        </w:tc>
        <w:tc>
          <w:tcPr>
            <w:tcW w:type="dxa" w:w="1994"/>
            <w:vAlign w:val="top"/>
          </w:tcPr>
          <w:p>
            <w:r/>
            <w:r>
              <w:rPr>
                <w:rFonts w:ascii="Calibri" w:hAnsi="Calibri"/>
                <w:b w:val="0"/>
                <w:i w:val="0"/>
                <w:color w:val="000000"/>
                <w:sz w:val="18"/>
              </w:rPr>
              <w:t>Set connection_timeout=30 and max_transaction_retry_time=30.</w:t>
            </w:r>
          </w:p>
        </w:tc>
        <w:tc>
          <w:tcPr>
            <w:tcW w:type="dxa" w:w="1994"/>
            <w:vAlign w:val="top"/>
          </w:tcPr>
          <w:p>
            <w:r/>
            <w:r>
              <w:rPr>
                <w:rFonts w:ascii="Calibri" w:hAnsi="Calibri"/>
                <w:b w:val="0"/>
                <w:i w:val="0"/>
                <w:color w:val="000000"/>
                <w:sz w:val="18"/>
              </w:rPr>
              <w:t>1 day</w:t>
            </w:r>
          </w:p>
        </w:tc>
      </w:tr>
      <w:tr>
        <w:tc>
          <w:tcPr>
            <w:tcW w:type="dxa" w:w="1994"/>
            <w:vAlign w:val="top"/>
          </w:tcPr>
          <w:p>
            <w:r/>
            <w:r>
              <w:rPr>
                <w:rFonts w:ascii="Calibri" w:hAnsi="Calibri"/>
                <w:b w:val="0"/>
                <w:i w:val="0"/>
                <w:color w:val="000000"/>
                <w:sz w:val="18"/>
              </w:rPr>
              <w:t>OBS-01</w:t>
            </w:r>
          </w:p>
        </w:tc>
        <w:tc>
          <w:tcPr>
            <w:tcW w:type="dxa" w:w="1994"/>
            <w:vAlign w:val="top"/>
          </w:tcPr>
          <w:p>
            <w:r/>
            <w:r>
              <w:rPr>
                <w:rFonts w:ascii="Calibri" w:hAnsi="Calibri"/>
                <w:b w:val="0"/>
                <w:i w:val="0"/>
                <w:color w:val="000000"/>
                <w:sz w:val="18"/>
              </w:rPr>
              <w:t>No structured JSON logging</w:t>
            </w:r>
          </w:p>
        </w:tc>
        <w:tc>
          <w:tcPr>
            <w:tcW w:type="dxa" w:w="1994"/>
            <w:vAlign w:val="top"/>
          </w:tcPr>
          <w:p>
            <w:r/>
            <w:r>
              <w:rPr>
                <w:rFonts w:ascii="Calibri" w:hAnsi="Calibri"/>
                <w:b w:val="0"/>
                <w:i w:val="0"/>
                <w:color w:val="000000"/>
                <w:sz w:val="18"/>
              </w:rPr>
              <w:t>Plain-text logging incompatible with CloudWatch Logs Insights.</w:t>
            </w:r>
          </w:p>
        </w:tc>
        <w:tc>
          <w:tcPr>
            <w:tcW w:type="dxa" w:w="1994"/>
            <w:vAlign w:val="top"/>
          </w:tcPr>
          <w:p>
            <w:r/>
            <w:r>
              <w:rPr>
                <w:rFonts w:ascii="Calibri" w:hAnsi="Calibri"/>
                <w:b w:val="0"/>
                <w:i w:val="0"/>
                <w:color w:val="000000"/>
                <w:sz w:val="18"/>
              </w:rPr>
              <w:t>Adopt python-json-logger across all services.</w:t>
            </w:r>
          </w:p>
        </w:tc>
        <w:tc>
          <w:tcPr>
            <w:tcW w:type="dxa" w:w="1994"/>
            <w:vAlign w:val="top"/>
          </w:tcPr>
          <w:p>
            <w:r/>
            <w:r>
              <w:rPr>
                <w:rFonts w:ascii="Calibri" w:hAnsi="Calibri"/>
                <w:b w:val="0"/>
                <w:i w:val="0"/>
                <w:color w:val="000000"/>
                <w:sz w:val="18"/>
              </w:rPr>
              <w:t>2 days</w:t>
            </w:r>
          </w:p>
        </w:tc>
      </w:tr>
      <w:tr>
        <w:tc>
          <w:tcPr>
            <w:tcW w:type="dxa" w:w="1994"/>
            <w:vAlign w:val="top"/>
          </w:tcPr>
          <w:p>
            <w:r/>
            <w:r>
              <w:rPr>
                <w:rFonts w:ascii="Calibri" w:hAnsi="Calibri"/>
                <w:b w:val="0"/>
                <w:i w:val="0"/>
                <w:color w:val="000000"/>
                <w:sz w:val="18"/>
              </w:rPr>
              <w:t>OBS-02</w:t>
            </w:r>
          </w:p>
        </w:tc>
        <w:tc>
          <w:tcPr>
            <w:tcW w:type="dxa" w:w="1994"/>
            <w:vAlign w:val="top"/>
          </w:tcPr>
          <w:p>
            <w:r/>
            <w:r>
              <w:rPr>
                <w:rFonts w:ascii="Calibri" w:hAnsi="Calibri"/>
                <w:b w:val="0"/>
                <w:i w:val="0"/>
                <w:color w:val="000000"/>
                <w:sz w:val="18"/>
              </w:rPr>
              <w:t>No metrics export</w:t>
            </w:r>
          </w:p>
        </w:tc>
        <w:tc>
          <w:tcPr>
            <w:tcW w:type="dxa" w:w="1994"/>
            <w:vAlign w:val="top"/>
          </w:tcPr>
          <w:p>
            <w:r/>
            <w:r>
              <w:rPr>
                <w:rFonts w:ascii="Calibri" w:hAnsi="Calibri"/>
                <w:b w:val="0"/>
                <w:i w:val="0"/>
                <w:color w:val="000000"/>
                <w:sz w:val="18"/>
              </w:rPr>
              <w:t>No Prometheus or CloudWatch metrics for application signals.</w:t>
            </w:r>
          </w:p>
        </w:tc>
        <w:tc>
          <w:tcPr>
            <w:tcW w:type="dxa" w:w="1994"/>
            <w:vAlign w:val="top"/>
          </w:tcPr>
          <w:p>
            <w:r/>
            <w:r>
              <w:rPr>
                <w:rFonts w:ascii="Calibri" w:hAnsi="Calibri"/>
                <w:b w:val="0"/>
                <w:i w:val="0"/>
                <w:color w:val="000000"/>
                <w:sz w:val="18"/>
              </w:rPr>
              <w:t>Add Prometheus client + scrape config; or CloudWatch EMF.</w:t>
            </w:r>
          </w:p>
        </w:tc>
        <w:tc>
          <w:tcPr>
            <w:tcW w:type="dxa" w:w="1994"/>
            <w:vAlign w:val="top"/>
          </w:tcPr>
          <w:p>
            <w:r/>
            <w:r>
              <w:rPr>
                <w:rFonts w:ascii="Calibri" w:hAnsi="Calibri"/>
                <w:b w:val="0"/>
                <w:i w:val="0"/>
                <w:color w:val="000000"/>
                <w:sz w:val="18"/>
              </w:rPr>
              <w:t>3 days</w:t>
            </w:r>
          </w:p>
        </w:tc>
      </w:tr>
      <w:tr>
        <w:tc>
          <w:tcPr>
            <w:tcW w:type="dxa" w:w="1994"/>
            <w:vAlign w:val="top"/>
          </w:tcPr>
          <w:p>
            <w:r/>
            <w:r>
              <w:rPr>
                <w:rFonts w:ascii="Calibri" w:hAnsi="Calibri"/>
                <w:b w:val="0"/>
                <w:i w:val="0"/>
                <w:color w:val="000000"/>
                <w:sz w:val="18"/>
              </w:rPr>
              <w:t>OBS-03</w:t>
            </w:r>
          </w:p>
        </w:tc>
        <w:tc>
          <w:tcPr>
            <w:tcW w:type="dxa" w:w="1994"/>
            <w:vAlign w:val="top"/>
          </w:tcPr>
          <w:p>
            <w:r/>
            <w:r>
              <w:rPr>
                <w:rFonts w:ascii="Calibri" w:hAnsi="Calibri"/>
                <w:b w:val="0"/>
                <w:i w:val="0"/>
                <w:color w:val="000000"/>
                <w:sz w:val="18"/>
              </w:rPr>
              <w:t>No distributed tracing</w:t>
            </w:r>
          </w:p>
        </w:tc>
        <w:tc>
          <w:tcPr>
            <w:tcW w:type="dxa" w:w="1994"/>
            <w:vAlign w:val="top"/>
          </w:tcPr>
          <w:p>
            <w:r/>
            <w:r>
              <w:rPr>
                <w:rFonts w:ascii="Calibri" w:hAnsi="Calibri"/>
                <w:b w:val="0"/>
                <w:i w:val="0"/>
                <w:color w:val="000000"/>
                <w:sz w:val="18"/>
              </w:rPr>
              <w:t>No correlation across services; cross-service debugging is forensic.</w:t>
            </w:r>
          </w:p>
        </w:tc>
        <w:tc>
          <w:tcPr>
            <w:tcW w:type="dxa" w:w="1994"/>
            <w:vAlign w:val="top"/>
          </w:tcPr>
          <w:p>
            <w:r/>
            <w:r>
              <w:rPr>
                <w:rFonts w:ascii="Calibri" w:hAnsi="Calibri"/>
                <w:b w:val="0"/>
                <w:i w:val="0"/>
                <w:color w:val="000000"/>
                <w:sz w:val="18"/>
              </w:rPr>
              <w:t>Integrate OpenTelemetry SDK + AWS X-Ray exporter.</w:t>
            </w:r>
          </w:p>
        </w:tc>
        <w:tc>
          <w:tcPr>
            <w:tcW w:type="dxa" w:w="1994"/>
            <w:vAlign w:val="top"/>
          </w:tcPr>
          <w:p>
            <w:r/>
            <w:r>
              <w:rPr>
                <w:rFonts w:ascii="Calibri" w:hAnsi="Calibri"/>
                <w:b w:val="0"/>
                <w:i w:val="0"/>
                <w:color w:val="000000"/>
                <w:sz w:val="18"/>
              </w:rPr>
              <w:t>5 days</w:t>
            </w:r>
          </w:p>
        </w:tc>
      </w:tr>
      <w:tr>
        <w:tc>
          <w:tcPr>
            <w:tcW w:type="dxa" w:w="1994"/>
            <w:vAlign w:val="top"/>
          </w:tcPr>
          <w:p>
            <w:r/>
            <w:r>
              <w:rPr>
                <w:rFonts w:ascii="Calibri" w:hAnsi="Calibri"/>
                <w:b w:val="0"/>
                <w:i w:val="0"/>
                <w:color w:val="000000"/>
                <w:sz w:val="18"/>
              </w:rPr>
              <w:t>OBS-04</w:t>
            </w:r>
          </w:p>
        </w:tc>
        <w:tc>
          <w:tcPr>
            <w:tcW w:type="dxa" w:w="1994"/>
            <w:vAlign w:val="top"/>
          </w:tcPr>
          <w:p>
            <w:r/>
            <w:r>
              <w:rPr>
                <w:rFonts w:ascii="Calibri" w:hAnsi="Calibri"/>
                <w:b w:val="0"/>
                <w:i w:val="0"/>
                <w:color w:val="000000"/>
                <w:sz w:val="18"/>
              </w:rPr>
              <w:t>Shallow /health endpoints</w:t>
            </w:r>
          </w:p>
        </w:tc>
        <w:tc>
          <w:tcPr>
            <w:tcW w:type="dxa" w:w="1994"/>
            <w:vAlign w:val="top"/>
          </w:tcPr>
          <w:p>
            <w:r/>
            <w:r>
              <w:rPr>
                <w:rFonts w:ascii="Calibri" w:hAnsi="Calibri"/>
                <w:b w:val="0"/>
                <w:i w:val="0"/>
                <w:color w:val="000000"/>
                <w:sz w:val="18"/>
              </w:rPr>
              <w:t>Returns OK without checking dependencies.</w:t>
            </w:r>
          </w:p>
        </w:tc>
        <w:tc>
          <w:tcPr>
            <w:tcW w:type="dxa" w:w="1994"/>
            <w:vAlign w:val="top"/>
          </w:tcPr>
          <w:p>
            <w:r/>
            <w:r>
              <w:rPr>
                <w:rFonts w:ascii="Calibri" w:hAnsi="Calibri"/>
                <w:b w:val="0"/>
                <w:i w:val="0"/>
                <w:color w:val="000000"/>
                <w:sz w:val="18"/>
              </w:rPr>
              <w:t>Add deep checks for Neo4j, MCP, LLM availability.</w:t>
            </w:r>
          </w:p>
        </w:tc>
        <w:tc>
          <w:tcPr>
            <w:tcW w:type="dxa" w:w="1994"/>
            <w:vAlign w:val="top"/>
          </w:tcPr>
          <w:p>
            <w:r/>
            <w:r>
              <w:rPr>
                <w:rFonts w:ascii="Calibri" w:hAnsi="Calibri"/>
                <w:b w:val="0"/>
                <w:i w:val="0"/>
                <w:color w:val="000000"/>
                <w:sz w:val="18"/>
              </w:rPr>
              <w:t>1 day</w:t>
            </w:r>
          </w:p>
        </w:tc>
      </w:tr>
    </w:tbl>
    <w:p/>
    <w:p>
      <w:pPr>
        <w:spacing w:before="200" w:after="80"/>
        <w:outlineLvl w:val="2"/>
      </w:pPr>
      <w:r>
        <w:rPr>
          <w:rFonts w:ascii="Calibri" w:hAnsi="Calibri"/>
          <w:b/>
          <w:i w:val="0"/>
          <w:color w:val="2E6DA4"/>
          <w:sz w:val="26"/>
        </w:rPr>
        <w:t>3.1  Agent-Tier HIGH Findings — Recommended Pattern</w:t>
      </w:r>
    </w:p>
    <w:p>
      <w:pPr>
        <w:spacing w:after="120"/>
        <w:jc w:val="both"/>
      </w:pPr>
      <w:r>
        <w:rPr>
          <w:rFonts w:ascii="Calibri" w:hAnsi="Calibri"/>
          <w:b w:val="0"/>
          <w:i w:val="0"/>
          <w:color w:val="000000"/>
          <w:sz w:val="21"/>
        </w:rPr>
        <w:t>AGT-02 through AGT-05 share a common root cause: the agent's surface area was assembled from sensible defaults rather than from explicit production constraints. The recommended remediation pattern is a single AgentExecutionPolicy module that centralises max_iterations (set to twenty-five), wall-clock timeout (300 seconds), per-LLM-call timeout (60 seconds for both providers), and the tool allowlist (excluding python_repl outside developer environments). Centralising these knobs makes future tuning a configuration change, not a code change.</w:t>
      </w:r>
    </w:p>
    <w:p>
      <w:pPr>
        <w:spacing w:before="200" w:after="80"/>
        <w:outlineLvl w:val="2"/>
      </w:pPr>
      <w:r>
        <w:rPr>
          <w:rFonts w:ascii="Calibri" w:hAnsi="Calibri"/>
          <w:b/>
          <w:i w:val="0"/>
          <w:color w:val="2E6DA4"/>
          <w:sz w:val="26"/>
        </w:rPr>
        <w:t>3.2  Database HIGH Findings</w:t>
      </w:r>
    </w:p>
    <w:p>
      <w:pPr>
        <w:spacing w:after="120"/>
        <w:jc w:val="both"/>
      </w:pPr>
      <w:r>
        <w:rPr>
          <w:rFonts w:ascii="Calibri" w:hAnsi="Calibri"/>
          <w:b w:val="0"/>
          <w:i w:val="0"/>
          <w:color w:val="000000"/>
          <w:sz w:val="21"/>
        </w:rPr>
        <w:t>DB-01 introduces explicit transaction and connection timeouts on the Neo4j driver. The recommended values — connection_timeout=30 and max_transaction_retry_time=30 — are conservative and balance fail-fast behaviour against transient network blips.</w:t>
      </w:r>
    </w:p>
    <w:p>
      <w:pPr>
        <w:spacing w:before="200" w:after="80"/>
        <w:outlineLvl w:val="2"/>
      </w:pPr>
      <w:r>
        <w:rPr>
          <w:rFonts w:ascii="Calibri" w:hAnsi="Calibri"/>
          <w:b/>
          <w:i w:val="0"/>
          <w:color w:val="2E6DA4"/>
          <w:sz w:val="26"/>
        </w:rPr>
        <w:t>3.3  Security HIGH Findings</w:t>
      </w:r>
    </w:p>
    <w:p>
      <w:pPr>
        <w:spacing w:after="120"/>
        <w:jc w:val="both"/>
      </w:pPr>
      <w:r>
        <w:rPr>
          <w:rFonts w:ascii="Calibri" w:hAnsi="Calibri"/>
          <w:b w:val="0"/>
          <w:i w:val="0"/>
          <w:color w:val="000000"/>
          <w:sz w:val="21"/>
        </w:rPr>
        <w:t>SEC-02 corrects the allowlist exception type so that unauthorised users receive HTTP 403 with a clean error body rather than an HTTP 500 with a stack trace. SEC-03 introduces application-level rate limiting via slowapi: 100 requests per minute per IP and ten concurrent agent sessions per user. These guardrails are the minimum required for any broader rollout; the audit recommends lifting them to API Gateway in Phase 3 once the next-generation architecture is in place.</w:t>
      </w:r>
    </w:p>
    <w:p>
      <w:pPr>
        <w:spacing w:before="200" w:after="80"/>
        <w:outlineLvl w:val="2"/>
      </w:pPr>
      <w:r>
        <w:rPr>
          <w:rFonts w:ascii="Calibri" w:hAnsi="Calibri"/>
          <w:b/>
          <w:i w:val="0"/>
          <w:color w:val="2E6DA4"/>
          <w:sz w:val="26"/>
        </w:rPr>
        <w:t>3.4  Observability HIGH Findings</w:t>
      </w:r>
    </w:p>
    <w:p>
      <w:pPr>
        <w:spacing w:after="120"/>
        <w:jc w:val="both"/>
      </w:pPr>
      <w:r>
        <w:rPr>
          <w:rFonts w:ascii="Calibri" w:hAnsi="Calibri"/>
          <w:b w:val="0"/>
          <w:i w:val="0"/>
          <w:color w:val="000000"/>
          <w:sz w:val="21"/>
        </w:rPr>
        <w:t>The four observability findings — OBS-01 through OBS-04 — together deliver the telemetry backbone the platform currently lacks: structured JSON logging via python-json-logger, application metrics via Prometheus or CloudWatch EMF, distributed tracing via OpenTelemetry plus AWS X-Ray, and deep /health endpoints that confirm Neo4j, MCP, and LLM availability. These findings are the costliest of the HIGH items in absolute days (combined approximately eleven days), but they unlock everything that comes after.</w:t>
      </w:r>
    </w:p>
    <w:p>
      <w:pPr>
        <w:spacing w:before="280" w:after="160"/>
        <w:outlineLvl w:val="1"/>
      </w:pPr>
      <w:r>
        <w:rPr>
          <w:rFonts w:ascii="Calibri" w:hAnsi="Calibri"/>
          <w:b/>
          <w:i w:val="0"/>
          <w:color w:val="1B3A6B"/>
          <w:sz w:val="34"/>
        </w:rPr>
        <w:t>Medium-Severity Findings</w:t>
      </w:r>
    </w:p>
    <w:p>
      <w:pPr>
        <w:spacing w:after="120"/>
        <w:jc w:val="both"/>
      </w:pPr>
      <w:r>
        <w:rPr>
          <w:rFonts w:ascii="Calibri" w:hAnsi="Calibri"/>
          <w:b w:val="0"/>
          <w:i w:val="0"/>
          <w:color w:val="000000"/>
          <w:sz w:val="21"/>
        </w:rPr>
        <w:t>Nine MEDIUM-severity findings cover token revocation, PII / PHI filtering, connection-pool sizing, deep-pagination caps, file-session robustness, graph statistics, and graph-data freshness. They do not block the limited rollout, but they are required for a 100-concurrent-user posture and for the regulatory expectations that follow any introduction of patient-derived or commercially sensitive data.</w:t>
      </w:r>
    </w:p>
    <w:tbl>
      <w:tblPr>
        <w:tblStyle w:val="LightGrid-Accent1"/>
        <w:tblW w:type="auto" w:w="0"/>
        <w:jc w:val="center"/>
        <w:tblLook w:firstColumn="1" w:firstRow="1" w:lastColumn="0" w:lastRow="0" w:noHBand="0" w:noVBand="1" w:val="04A0"/>
      </w:tblPr>
      <w:tblGrid>
        <w:gridCol w:w="1994"/>
        <w:gridCol w:w="1994"/>
        <w:gridCol w:w="1994"/>
        <w:gridCol w:w="1994"/>
        <w:gridCol w:w="1994"/>
      </w:tblGrid>
      <w:tr>
        <w:tc>
          <w:tcPr>
            <w:tcW w:type="dxa" w:w="1994"/>
            <w:shd w:val="clear" w:color="auto" w:fill="4A148C"/>
            <w:vAlign w:val="top"/>
          </w:tcPr>
          <w:p>
            <w:r/>
            <w:r>
              <w:rPr>
                <w:rFonts w:ascii="Calibri" w:hAnsi="Calibri"/>
                <w:b/>
                <w:i w:val="0"/>
                <w:color w:val="FFFFFF"/>
                <w:sz w:val="18"/>
              </w:rPr>
              <w:t>ID</w:t>
            </w:r>
          </w:p>
        </w:tc>
        <w:tc>
          <w:tcPr>
            <w:tcW w:type="dxa" w:w="1994"/>
            <w:shd w:val="clear" w:color="auto" w:fill="4A148C"/>
            <w:vAlign w:val="top"/>
          </w:tcPr>
          <w:p>
            <w:r/>
            <w:r>
              <w:rPr>
                <w:rFonts w:ascii="Calibri" w:hAnsi="Calibri"/>
                <w:b/>
                <w:i w:val="0"/>
                <w:color w:val="FFFFFF"/>
                <w:sz w:val="18"/>
              </w:rPr>
              <w:t>Title</w:t>
            </w:r>
          </w:p>
        </w:tc>
        <w:tc>
          <w:tcPr>
            <w:tcW w:type="dxa" w:w="1994"/>
            <w:shd w:val="clear" w:color="auto" w:fill="4A148C"/>
            <w:vAlign w:val="top"/>
          </w:tcPr>
          <w:p>
            <w:r/>
            <w:r>
              <w:rPr>
                <w:rFonts w:ascii="Calibri" w:hAnsi="Calibri"/>
                <w:b/>
                <w:i w:val="0"/>
                <w:color w:val="FFFFFF"/>
                <w:sz w:val="18"/>
              </w:rPr>
              <w:t>Description</w:t>
            </w:r>
          </w:p>
        </w:tc>
        <w:tc>
          <w:tcPr>
            <w:tcW w:type="dxa" w:w="1994"/>
            <w:shd w:val="clear" w:color="auto" w:fill="4A148C"/>
            <w:vAlign w:val="top"/>
          </w:tcPr>
          <w:p>
            <w:r/>
            <w:r>
              <w:rPr>
                <w:rFonts w:ascii="Calibri" w:hAnsi="Calibri"/>
                <w:b/>
                <w:i w:val="0"/>
                <w:color w:val="FFFFFF"/>
                <w:sz w:val="18"/>
              </w:rPr>
              <w:t>Remediation</w:t>
            </w:r>
          </w:p>
        </w:tc>
        <w:tc>
          <w:tcPr>
            <w:tcW w:type="dxa" w:w="1994"/>
            <w:shd w:val="clear" w:color="auto" w:fill="4A148C"/>
            <w:vAlign w:val="top"/>
          </w:tcPr>
          <w:p>
            <w:r/>
            <w:r>
              <w:rPr>
                <w:rFonts w:ascii="Calibri" w:hAnsi="Calibri"/>
                <w:b/>
                <w:i w:val="0"/>
                <w:color w:val="FFFFFF"/>
                <w:sz w:val="18"/>
              </w:rPr>
              <w:t>Effort</w:t>
            </w:r>
          </w:p>
        </w:tc>
      </w:tr>
      <w:tr>
        <w:tc>
          <w:tcPr>
            <w:tcW w:type="dxa" w:w="1994"/>
            <w:vAlign w:val="top"/>
          </w:tcPr>
          <w:p>
            <w:r/>
            <w:r>
              <w:rPr>
                <w:rFonts w:ascii="Calibri" w:hAnsi="Calibri"/>
                <w:b w:val="0"/>
                <w:i w:val="0"/>
                <w:color w:val="000000"/>
                <w:sz w:val="18"/>
              </w:rPr>
              <w:t>SEC-04</w:t>
            </w:r>
          </w:p>
        </w:tc>
        <w:tc>
          <w:tcPr>
            <w:tcW w:type="dxa" w:w="1994"/>
            <w:vAlign w:val="top"/>
          </w:tcPr>
          <w:p>
            <w:r/>
            <w:r>
              <w:rPr>
                <w:rFonts w:ascii="Calibri" w:hAnsi="Calibri"/>
                <w:b w:val="0"/>
                <w:i w:val="0"/>
                <w:color w:val="000000"/>
                <w:sz w:val="18"/>
              </w:rPr>
              <w:t>No token revocation</w:t>
            </w:r>
          </w:p>
        </w:tc>
        <w:tc>
          <w:tcPr>
            <w:tcW w:type="dxa" w:w="1994"/>
            <w:vAlign w:val="top"/>
          </w:tcPr>
          <w:p>
            <w:r/>
            <w:r>
              <w:rPr>
                <w:rFonts w:ascii="Calibri" w:hAnsi="Calibri"/>
                <w:b w:val="0"/>
                <w:i w:val="0"/>
                <w:color w:val="000000"/>
                <w:sz w:val="18"/>
              </w:rPr>
              <w:t>No /logout; compromised JWT remains valid until exp.</w:t>
            </w:r>
          </w:p>
        </w:tc>
        <w:tc>
          <w:tcPr>
            <w:tcW w:type="dxa" w:w="1994"/>
            <w:vAlign w:val="top"/>
          </w:tcPr>
          <w:p>
            <w:r/>
            <w:r>
              <w:rPr>
                <w:rFonts w:ascii="Calibri" w:hAnsi="Calibri"/>
                <w:b w:val="0"/>
                <w:i w:val="0"/>
                <w:color w:val="000000"/>
                <w:sz w:val="18"/>
              </w:rPr>
              <w:t>Redis-backed denylist; expose /auth/logout endpoint.</w:t>
            </w:r>
          </w:p>
        </w:tc>
        <w:tc>
          <w:tcPr>
            <w:tcW w:type="dxa" w:w="1994"/>
            <w:vAlign w:val="top"/>
          </w:tcPr>
          <w:p>
            <w:r/>
            <w:r>
              <w:rPr>
                <w:rFonts w:ascii="Calibri" w:hAnsi="Calibri"/>
                <w:b w:val="0"/>
                <w:i w:val="0"/>
                <w:color w:val="000000"/>
                <w:sz w:val="18"/>
              </w:rPr>
              <w:t>3 days</w:t>
            </w:r>
          </w:p>
        </w:tc>
      </w:tr>
      <w:tr>
        <w:tc>
          <w:tcPr>
            <w:tcW w:type="dxa" w:w="1994"/>
            <w:vAlign w:val="top"/>
          </w:tcPr>
          <w:p>
            <w:r/>
            <w:r>
              <w:rPr>
                <w:rFonts w:ascii="Calibri" w:hAnsi="Calibri"/>
                <w:b w:val="0"/>
                <w:i w:val="0"/>
                <w:color w:val="000000"/>
                <w:sz w:val="18"/>
              </w:rPr>
              <w:t>SEC-05</w:t>
            </w:r>
          </w:p>
        </w:tc>
        <w:tc>
          <w:tcPr>
            <w:tcW w:type="dxa" w:w="1994"/>
            <w:vAlign w:val="top"/>
          </w:tcPr>
          <w:p>
            <w:r/>
            <w:r>
              <w:rPr>
                <w:rFonts w:ascii="Calibri" w:hAnsi="Calibri"/>
                <w:b w:val="0"/>
                <w:i w:val="0"/>
                <w:color w:val="000000"/>
                <w:sz w:val="18"/>
              </w:rPr>
              <w:t>PII / PHI not filtered</w:t>
            </w:r>
          </w:p>
        </w:tc>
        <w:tc>
          <w:tcPr>
            <w:tcW w:type="dxa" w:w="1994"/>
            <w:vAlign w:val="top"/>
          </w:tcPr>
          <w:p>
            <w:r/>
            <w:r>
              <w:rPr>
                <w:rFonts w:ascii="Calibri" w:hAnsi="Calibri"/>
                <w:b w:val="0"/>
                <w:i w:val="0"/>
                <w:color w:val="000000"/>
                <w:sz w:val="18"/>
              </w:rPr>
              <w:t>No redaction in prompts or responses; regulatory risk.</w:t>
            </w:r>
          </w:p>
        </w:tc>
        <w:tc>
          <w:tcPr>
            <w:tcW w:type="dxa" w:w="1994"/>
            <w:vAlign w:val="top"/>
          </w:tcPr>
          <w:p>
            <w:r/>
            <w:r>
              <w:rPr>
                <w:rFonts w:ascii="Calibri" w:hAnsi="Calibri"/>
                <w:b w:val="0"/>
                <w:i w:val="0"/>
                <w:color w:val="000000"/>
                <w:sz w:val="18"/>
              </w:rPr>
              <w:t>AWS Comprehend PII detection middleware on prompts and responses.</w:t>
            </w:r>
          </w:p>
        </w:tc>
        <w:tc>
          <w:tcPr>
            <w:tcW w:type="dxa" w:w="1994"/>
            <w:vAlign w:val="top"/>
          </w:tcPr>
          <w:p>
            <w:r/>
            <w:r>
              <w:rPr>
                <w:rFonts w:ascii="Calibri" w:hAnsi="Calibri"/>
                <w:b w:val="0"/>
                <w:i w:val="0"/>
                <w:color w:val="000000"/>
                <w:sz w:val="18"/>
              </w:rPr>
              <w:t>5 days</w:t>
            </w:r>
          </w:p>
        </w:tc>
      </w:tr>
      <w:tr>
        <w:tc>
          <w:tcPr>
            <w:tcW w:type="dxa" w:w="1994"/>
            <w:vAlign w:val="top"/>
          </w:tcPr>
          <w:p>
            <w:r/>
            <w:r>
              <w:rPr>
                <w:rFonts w:ascii="Calibri" w:hAnsi="Calibri"/>
                <w:b w:val="0"/>
                <w:i w:val="0"/>
                <w:color w:val="000000"/>
                <w:sz w:val="18"/>
              </w:rPr>
              <w:t>DB-02</w:t>
            </w:r>
          </w:p>
        </w:tc>
        <w:tc>
          <w:tcPr>
            <w:tcW w:type="dxa" w:w="1994"/>
            <w:vAlign w:val="top"/>
          </w:tcPr>
          <w:p>
            <w:r/>
            <w:r>
              <w:rPr>
                <w:rFonts w:ascii="Calibri" w:hAnsi="Calibri"/>
                <w:b w:val="0"/>
                <w:i w:val="0"/>
                <w:color w:val="000000"/>
                <w:sz w:val="18"/>
              </w:rPr>
              <w:t>No explicit Neo4j connection-pool sizing</w:t>
            </w:r>
          </w:p>
        </w:tc>
        <w:tc>
          <w:tcPr>
            <w:tcW w:type="dxa" w:w="1994"/>
            <w:vAlign w:val="top"/>
          </w:tcPr>
          <w:p>
            <w:r/>
            <w:r>
              <w:rPr>
                <w:rFonts w:ascii="Calibri" w:hAnsi="Calibri"/>
                <w:b w:val="0"/>
                <w:i w:val="0"/>
                <w:color w:val="000000"/>
                <w:sz w:val="18"/>
              </w:rPr>
              <w:t>Pool defaults limit concurrent throughput.</w:t>
            </w:r>
          </w:p>
        </w:tc>
        <w:tc>
          <w:tcPr>
            <w:tcW w:type="dxa" w:w="1994"/>
            <w:vAlign w:val="top"/>
          </w:tcPr>
          <w:p>
            <w:r/>
            <w:r>
              <w:rPr>
                <w:rFonts w:ascii="Calibri" w:hAnsi="Calibri"/>
                <w:b w:val="0"/>
                <w:i w:val="0"/>
                <w:color w:val="000000"/>
                <w:sz w:val="18"/>
              </w:rPr>
              <w:t>Tune pool_size against load tests.</w:t>
            </w:r>
          </w:p>
        </w:tc>
        <w:tc>
          <w:tcPr>
            <w:tcW w:type="dxa" w:w="1994"/>
            <w:vAlign w:val="top"/>
          </w:tcPr>
          <w:p>
            <w:r/>
            <w:r>
              <w:rPr>
                <w:rFonts w:ascii="Calibri" w:hAnsi="Calibri"/>
                <w:b w:val="0"/>
                <w:i w:val="0"/>
                <w:color w:val="000000"/>
                <w:sz w:val="18"/>
              </w:rPr>
              <w:t>0.5 day</w:t>
            </w:r>
          </w:p>
        </w:tc>
      </w:tr>
      <w:tr>
        <w:tc>
          <w:tcPr>
            <w:tcW w:type="dxa" w:w="1994"/>
            <w:vAlign w:val="top"/>
          </w:tcPr>
          <w:p>
            <w:r/>
            <w:r>
              <w:rPr>
                <w:rFonts w:ascii="Calibri" w:hAnsi="Calibri"/>
                <w:b w:val="0"/>
                <w:i w:val="0"/>
                <w:color w:val="000000"/>
                <w:sz w:val="18"/>
              </w:rPr>
              <w:t>DB-03</w:t>
            </w:r>
          </w:p>
        </w:tc>
        <w:tc>
          <w:tcPr>
            <w:tcW w:type="dxa" w:w="1994"/>
            <w:vAlign w:val="top"/>
          </w:tcPr>
          <w:p>
            <w:r/>
            <w:r>
              <w:rPr>
                <w:rFonts w:ascii="Calibri" w:hAnsi="Calibri"/>
                <w:b w:val="0"/>
                <w:i w:val="0"/>
                <w:color w:val="000000"/>
                <w:sz w:val="18"/>
              </w:rPr>
              <w:t>No deep-pagination offset cap</w:t>
            </w:r>
          </w:p>
        </w:tc>
        <w:tc>
          <w:tcPr>
            <w:tcW w:type="dxa" w:w="1994"/>
            <w:vAlign w:val="top"/>
          </w:tcPr>
          <w:p>
            <w:r/>
            <w:r>
              <w:rPr>
                <w:rFonts w:ascii="Calibri" w:hAnsi="Calibri"/>
                <w:b w:val="0"/>
                <w:i w:val="0"/>
                <w:color w:val="000000"/>
                <w:sz w:val="18"/>
              </w:rPr>
              <w:t>Unbounded OFFSET enables slow scans.</w:t>
            </w:r>
          </w:p>
        </w:tc>
        <w:tc>
          <w:tcPr>
            <w:tcW w:type="dxa" w:w="1994"/>
            <w:vAlign w:val="top"/>
          </w:tcPr>
          <w:p>
            <w:r/>
            <w:r>
              <w:rPr>
                <w:rFonts w:ascii="Calibri" w:hAnsi="Calibri"/>
                <w:b w:val="0"/>
                <w:i w:val="0"/>
                <w:color w:val="000000"/>
                <w:sz w:val="18"/>
              </w:rPr>
              <w:t>Reject OFFSET &gt; 100,000 in pagination utility.</w:t>
            </w:r>
          </w:p>
        </w:tc>
        <w:tc>
          <w:tcPr>
            <w:tcW w:type="dxa" w:w="1994"/>
            <w:vAlign w:val="top"/>
          </w:tcPr>
          <w:p>
            <w:r/>
            <w:r>
              <w:rPr>
                <w:rFonts w:ascii="Calibri" w:hAnsi="Calibri"/>
                <w:b w:val="0"/>
                <w:i w:val="0"/>
                <w:color w:val="000000"/>
                <w:sz w:val="18"/>
              </w:rPr>
              <w:t>0.5 day</w:t>
            </w:r>
          </w:p>
        </w:tc>
      </w:tr>
      <w:tr>
        <w:tc>
          <w:tcPr>
            <w:tcW w:type="dxa" w:w="1994"/>
            <w:vAlign w:val="top"/>
          </w:tcPr>
          <w:p>
            <w:r/>
            <w:r>
              <w:rPr>
                <w:rFonts w:ascii="Calibri" w:hAnsi="Calibri"/>
                <w:b w:val="0"/>
                <w:i w:val="0"/>
                <w:color w:val="000000"/>
                <w:sz w:val="18"/>
              </w:rPr>
              <w:t>AGT-06</w:t>
            </w:r>
          </w:p>
        </w:tc>
        <w:tc>
          <w:tcPr>
            <w:tcW w:type="dxa" w:w="1994"/>
            <w:vAlign w:val="top"/>
          </w:tcPr>
          <w:p>
            <w:r/>
            <w:r>
              <w:rPr>
                <w:rFonts w:ascii="Calibri" w:hAnsi="Calibri"/>
                <w:b w:val="0"/>
                <w:i w:val="0"/>
                <w:color w:val="000000"/>
                <w:sz w:val="18"/>
              </w:rPr>
              <w:t>FileSessionManager — no recovery, no cleanup</w:t>
            </w:r>
          </w:p>
        </w:tc>
        <w:tc>
          <w:tcPr>
            <w:tcW w:type="dxa" w:w="1994"/>
            <w:vAlign w:val="top"/>
          </w:tcPr>
          <w:p>
            <w:r/>
            <w:r>
              <w:rPr>
                <w:rFonts w:ascii="Calibri" w:hAnsi="Calibri"/>
                <w:b w:val="0"/>
                <w:i w:val="0"/>
                <w:color w:val="000000"/>
                <w:sz w:val="18"/>
              </w:rPr>
              <w:t>Disk-based sessions; concurrent writes contend; no purge.</w:t>
            </w:r>
          </w:p>
        </w:tc>
        <w:tc>
          <w:tcPr>
            <w:tcW w:type="dxa" w:w="1994"/>
            <w:vAlign w:val="top"/>
          </w:tcPr>
          <w:p>
            <w:r/>
            <w:r>
              <w:rPr>
                <w:rFonts w:ascii="Calibri" w:hAnsi="Calibri"/>
                <w:b w:val="0"/>
                <w:i w:val="0"/>
                <w:color w:val="000000"/>
                <w:sz w:val="18"/>
              </w:rPr>
              <w:t>fcntl locking now; migrate to DynamoDB / Redis.</w:t>
            </w:r>
          </w:p>
        </w:tc>
        <w:tc>
          <w:tcPr>
            <w:tcW w:type="dxa" w:w="1994"/>
            <w:vAlign w:val="top"/>
          </w:tcPr>
          <w:p>
            <w:r/>
            <w:r>
              <w:rPr>
                <w:rFonts w:ascii="Calibri" w:hAnsi="Calibri"/>
                <w:b w:val="0"/>
                <w:i w:val="0"/>
                <w:color w:val="000000"/>
                <w:sz w:val="18"/>
              </w:rPr>
              <w:t>2 days</w:t>
            </w:r>
          </w:p>
        </w:tc>
      </w:tr>
      <w:tr>
        <w:tc>
          <w:tcPr>
            <w:tcW w:type="dxa" w:w="1994"/>
            <w:vAlign w:val="top"/>
          </w:tcPr>
          <w:p>
            <w:r/>
            <w:r>
              <w:rPr>
                <w:rFonts w:ascii="Calibri" w:hAnsi="Calibri"/>
                <w:b w:val="0"/>
                <w:i w:val="0"/>
                <w:color w:val="000000"/>
                <w:sz w:val="18"/>
              </w:rPr>
              <w:t>GRAPH-01</w:t>
            </w:r>
          </w:p>
        </w:tc>
        <w:tc>
          <w:tcPr>
            <w:tcW w:type="dxa" w:w="1994"/>
            <w:vAlign w:val="top"/>
          </w:tcPr>
          <w:p>
            <w:r/>
            <w:r>
              <w:rPr>
                <w:rFonts w:ascii="Calibri" w:hAnsi="Calibri"/>
                <w:b w:val="0"/>
                <w:i w:val="0"/>
                <w:color w:val="000000"/>
                <w:sz w:val="18"/>
              </w:rPr>
              <w:t>No graph statistics dashboard</w:t>
            </w:r>
          </w:p>
        </w:tc>
        <w:tc>
          <w:tcPr>
            <w:tcW w:type="dxa" w:w="1994"/>
            <w:vAlign w:val="top"/>
          </w:tcPr>
          <w:p>
            <w:r/>
            <w:r>
              <w:rPr>
                <w:rFonts w:ascii="Calibri" w:hAnsi="Calibri"/>
                <w:b w:val="0"/>
                <w:i w:val="0"/>
                <w:color w:val="000000"/>
                <w:sz w:val="18"/>
              </w:rPr>
              <w:t>Node / edge counts and growth rate not surfaced.</w:t>
            </w:r>
          </w:p>
        </w:tc>
        <w:tc>
          <w:tcPr>
            <w:tcW w:type="dxa" w:w="1994"/>
            <w:vAlign w:val="top"/>
          </w:tcPr>
          <w:p>
            <w:r/>
            <w:r>
              <w:rPr>
                <w:rFonts w:ascii="Calibri" w:hAnsi="Calibri"/>
                <w:b w:val="0"/>
                <w:i w:val="0"/>
                <w:color w:val="000000"/>
                <w:sz w:val="18"/>
              </w:rPr>
              <w:t>Add /stats/graph endpoint and a small dashboard.</w:t>
            </w:r>
          </w:p>
        </w:tc>
        <w:tc>
          <w:tcPr>
            <w:tcW w:type="dxa" w:w="1994"/>
            <w:vAlign w:val="top"/>
          </w:tcPr>
          <w:p>
            <w:r/>
            <w:r>
              <w:rPr>
                <w:rFonts w:ascii="Calibri" w:hAnsi="Calibri"/>
                <w:b w:val="0"/>
                <w:i w:val="0"/>
                <w:color w:val="000000"/>
                <w:sz w:val="18"/>
              </w:rPr>
              <w:t>1 day</w:t>
            </w:r>
          </w:p>
        </w:tc>
      </w:tr>
      <w:tr>
        <w:tc>
          <w:tcPr>
            <w:tcW w:type="dxa" w:w="1994"/>
            <w:vAlign w:val="top"/>
          </w:tcPr>
          <w:p>
            <w:r/>
            <w:r>
              <w:rPr>
                <w:rFonts w:ascii="Calibri" w:hAnsi="Calibri"/>
                <w:b w:val="0"/>
                <w:i w:val="0"/>
                <w:color w:val="000000"/>
                <w:sz w:val="18"/>
              </w:rPr>
              <w:t>GRAPH-02</w:t>
            </w:r>
          </w:p>
        </w:tc>
        <w:tc>
          <w:tcPr>
            <w:tcW w:type="dxa" w:w="1994"/>
            <w:vAlign w:val="top"/>
          </w:tcPr>
          <w:p>
            <w:r/>
            <w:r>
              <w:rPr>
                <w:rFonts w:ascii="Calibri" w:hAnsi="Calibri"/>
                <w:b w:val="0"/>
                <w:i w:val="0"/>
                <w:color w:val="000000"/>
                <w:sz w:val="18"/>
              </w:rPr>
              <w:t>Graph data freshness not tracked</w:t>
            </w:r>
          </w:p>
        </w:tc>
        <w:tc>
          <w:tcPr>
            <w:tcW w:type="dxa" w:w="1994"/>
            <w:vAlign w:val="top"/>
          </w:tcPr>
          <w:p>
            <w:r/>
            <w:r>
              <w:rPr>
                <w:rFonts w:ascii="Calibri" w:hAnsi="Calibri"/>
                <w:b w:val="0"/>
                <w:i w:val="0"/>
                <w:color w:val="000000"/>
                <w:sz w:val="18"/>
              </w:rPr>
              <w:t>No last_updated on nodes; staleness not detectable.</w:t>
            </w:r>
          </w:p>
        </w:tc>
        <w:tc>
          <w:tcPr>
            <w:tcW w:type="dxa" w:w="1994"/>
            <w:vAlign w:val="top"/>
          </w:tcPr>
          <w:p>
            <w:r/>
            <w:r>
              <w:rPr>
                <w:rFonts w:ascii="Calibri" w:hAnsi="Calibri"/>
                <w:b w:val="0"/>
                <w:i w:val="0"/>
                <w:color w:val="000000"/>
                <w:sz w:val="18"/>
              </w:rPr>
              <w:t>Add last_updated property; expose in /stats.</w:t>
            </w:r>
          </w:p>
        </w:tc>
        <w:tc>
          <w:tcPr>
            <w:tcW w:type="dxa" w:w="1994"/>
            <w:vAlign w:val="top"/>
          </w:tcPr>
          <w:p>
            <w:r/>
            <w:r>
              <w:rPr>
                <w:rFonts w:ascii="Calibri" w:hAnsi="Calibri"/>
                <w:b w:val="0"/>
                <w:i w:val="0"/>
                <w:color w:val="000000"/>
                <w:sz w:val="18"/>
              </w:rPr>
              <w:t>2 days</w:t>
            </w:r>
          </w:p>
        </w:tc>
      </w:tr>
    </w:tbl>
    <w:p/>
    <w:p>
      <w:pPr>
        <w:spacing w:before="200" w:after="80"/>
        <w:outlineLvl w:val="2"/>
      </w:pPr>
      <w:r>
        <w:rPr>
          <w:rFonts w:ascii="Calibri" w:hAnsi="Calibri"/>
          <w:b/>
          <w:i w:val="0"/>
          <w:color w:val="2E6DA4"/>
          <w:sz w:val="26"/>
        </w:rPr>
        <w:t>4.1  PII / PHI as a Strategic Item</w:t>
      </w:r>
    </w:p>
    <w:p>
      <w:pPr>
        <w:spacing w:after="120"/>
        <w:jc w:val="both"/>
      </w:pPr>
      <w:r>
        <w:rPr>
          <w:rFonts w:ascii="Calibri" w:hAnsi="Calibri"/>
          <w:b w:val="0"/>
          <w:i w:val="0"/>
          <w:color w:val="000000"/>
          <w:sz w:val="21"/>
        </w:rPr>
        <w:t>SEC-05 is filed as MEDIUM but should be treated as a strategic dependency for any expansion of the platform's data footprint. The recommended approach is an AWS Comprehend PII-detection middleware that redacts candidate PII spans both inbound (in user prompts before they reach the LLM) and outbound (in agent responses before they reach the user). Comprehend's biomedical entity types are an additional benefit because they align well with Eugene's domain.</w:t>
      </w:r>
    </w:p>
    <w:p>
      <w:pPr>
        <w:spacing w:before="280" w:after="160"/>
        <w:outlineLvl w:val="1"/>
      </w:pPr>
      <w:r>
        <w:rPr>
          <w:rFonts w:ascii="Calibri" w:hAnsi="Calibri"/>
          <w:b/>
          <w:i w:val="0"/>
          <w:color w:val="1B3A6B"/>
          <w:sz w:val="34"/>
        </w:rPr>
        <w:t>Positive Findings</w:t>
      </w:r>
    </w:p>
    <w:p>
      <w:pPr>
        <w:spacing w:after="120"/>
        <w:jc w:val="both"/>
      </w:pPr>
      <w:r>
        <w:rPr>
          <w:rFonts w:ascii="Calibri" w:hAnsi="Calibri"/>
          <w:b w:val="0"/>
          <w:i w:val="0"/>
          <w:color w:val="000000"/>
          <w:sz w:val="21"/>
        </w:rPr>
        <w:t>The audit also surfaced six structural strengths that should be preserved through the next-generation migration. They are listed here so that the re-platforming work explicitly retains and amplifies them rather than refactoring them away.</w:t>
      </w:r>
    </w:p>
    <w:tbl>
      <w:tblPr>
        <w:tblStyle w:val="LightGrid-Accent1"/>
        <w:tblW w:type="auto" w:w="0"/>
        <w:jc w:val="center"/>
        <w:tblLook w:firstColumn="1" w:firstRow="1" w:lastColumn="0" w:lastRow="0" w:noHBand="0" w:noVBand="1" w:val="04A0"/>
      </w:tblPr>
      <w:tblGrid>
        <w:gridCol w:w="4986"/>
        <w:gridCol w:w="4986"/>
      </w:tblGrid>
      <w:tr>
        <w:tc>
          <w:tcPr>
            <w:tcW w:type="dxa" w:w="4986"/>
            <w:shd w:val="clear" w:color="auto" w:fill="1B5E20"/>
            <w:vAlign w:val="top"/>
          </w:tcPr>
          <w:p>
            <w:r/>
            <w:r>
              <w:rPr>
                <w:rFonts w:ascii="Calibri" w:hAnsi="Calibri"/>
                <w:b/>
                <w:i w:val="0"/>
                <w:color w:val="FFFFFF"/>
                <w:sz w:val="18"/>
              </w:rPr>
              <w:t>Strength</w:t>
            </w:r>
          </w:p>
        </w:tc>
        <w:tc>
          <w:tcPr>
            <w:tcW w:type="dxa" w:w="4986"/>
            <w:shd w:val="clear" w:color="auto" w:fill="1B5E20"/>
            <w:vAlign w:val="top"/>
          </w:tcPr>
          <w:p>
            <w:r/>
            <w:r>
              <w:rPr>
                <w:rFonts w:ascii="Calibri" w:hAnsi="Calibri"/>
                <w:b/>
                <w:i w:val="0"/>
                <w:color w:val="FFFFFF"/>
                <w:sz w:val="18"/>
              </w:rPr>
              <w:t>Detail</w:t>
            </w:r>
          </w:p>
        </w:tc>
      </w:tr>
      <w:tr>
        <w:tc>
          <w:tcPr>
            <w:tcW w:type="dxa" w:w="4986"/>
            <w:vAlign w:val="top"/>
          </w:tcPr>
          <w:p>
            <w:r/>
            <w:r>
              <w:rPr>
                <w:rFonts w:ascii="Calibri" w:hAnsi="Calibri"/>
                <w:b w:val="0"/>
                <w:i w:val="0"/>
                <w:color w:val="000000"/>
                <w:sz w:val="18"/>
              </w:rPr>
              <w:t>Clean DDD + Hexagonal Architecture</w:t>
            </w:r>
          </w:p>
        </w:tc>
        <w:tc>
          <w:tcPr>
            <w:tcW w:type="dxa" w:w="4986"/>
            <w:vAlign w:val="top"/>
          </w:tcPr>
          <w:p>
            <w:r/>
            <w:r>
              <w:rPr>
                <w:rFonts w:ascii="Calibri" w:hAnsi="Calibri"/>
                <w:b w:val="0"/>
                <w:i w:val="0"/>
                <w:color w:val="000000"/>
                <w:sz w:val="18"/>
              </w:rPr>
              <w:t>Domain-driven layering with explicit ports and adapters; testable, swappable, well-named.</w:t>
            </w:r>
          </w:p>
        </w:tc>
      </w:tr>
      <w:tr>
        <w:tc>
          <w:tcPr>
            <w:tcW w:type="dxa" w:w="4986"/>
            <w:vAlign w:val="top"/>
          </w:tcPr>
          <w:p>
            <w:r/>
            <w:r>
              <w:rPr>
                <w:rFonts w:ascii="Calibri" w:hAnsi="Calibri"/>
                <w:b w:val="0"/>
                <w:i w:val="0"/>
                <w:color w:val="000000"/>
                <w:sz w:val="18"/>
              </w:rPr>
              <w:t>Comprehensive Knowledge Graph Ontology</w:t>
            </w:r>
          </w:p>
        </w:tc>
        <w:tc>
          <w:tcPr>
            <w:tcW w:type="dxa" w:w="4986"/>
            <w:vAlign w:val="top"/>
          </w:tcPr>
          <w:p>
            <w:r/>
            <w:r>
              <w:rPr>
                <w:rFonts w:ascii="Calibri" w:hAnsi="Calibri"/>
                <w:b w:val="0"/>
                <w:i w:val="0"/>
                <w:color w:val="000000"/>
                <w:sz w:val="18"/>
              </w:rPr>
              <w:t>Forty-four node types and thirty-one relationship types unify USPTO, PubMed, trials, drugs, deals.</w:t>
            </w:r>
          </w:p>
        </w:tc>
      </w:tr>
      <w:tr>
        <w:tc>
          <w:tcPr>
            <w:tcW w:type="dxa" w:w="4986"/>
            <w:vAlign w:val="top"/>
          </w:tcPr>
          <w:p>
            <w:r/>
            <w:r>
              <w:rPr>
                <w:rFonts w:ascii="Calibri" w:hAnsi="Calibri"/>
                <w:b w:val="0"/>
                <w:i w:val="0"/>
                <w:color w:val="000000"/>
                <w:sz w:val="18"/>
              </w:rPr>
              <w:t>Dual LLM Provider with Auto-Detect</w:t>
            </w:r>
          </w:p>
        </w:tc>
        <w:tc>
          <w:tcPr>
            <w:tcW w:type="dxa" w:w="4986"/>
            <w:vAlign w:val="top"/>
          </w:tcPr>
          <w:p>
            <w:r/>
            <w:r>
              <w:rPr>
                <w:rFonts w:ascii="Calibri" w:hAnsi="Calibri"/>
                <w:b w:val="0"/>
                <w:i w:val="0"/>
                <w:color w:val="000000"/>
                <w:sz w:val="18"/>
              </w:rPr>
              <w:t>Anthropic / OpenAI hot-swap on a single env switch; resilience and cost flexibility.</w:t>
            </w:r>
          </w:p>
        </w:tc>
      </w:tr>
      <w:tr>
        <w:tc>
          <w:tcPr>
            <w:tcW w:type="dxa" w:w="4986"/>
            <w:vAlign w:val="top"/>
          </w:tcPr>
          <w:p>
            <w:r/>
            <w:r>
              <w:rPr>
                <w:rFonts w:ascii="Calibri" w:hAnsi="Calibri"/>
                <w:b w:val="0"/>
                <w:i w:val="0"/>
                <w:color w:val="000000"/>
                <w:sz w:val="18"/>
              </w:rPr>
              <w:t>Stateless MCP Server</w:t>
            </w:r>
          </w:p>
        </w:tc>
        <w:tc>
          <w:tcPr>
            <w:tcW w:type="dxa" w:w="4986"/>
            <w:vAlign w:val="top"/>
          </w:tcPr>
          <w:p>
            <w:r/>
            <w:r>
              <w:rPr>
                <w:rFonts w:ascii="Calibri" w:hAnsi="Calibri"/>
                <w:b w:val="0"/>
                <w:i w:val="0"/>
                <w:color w:val="000000"/>
                <w:sz w:val="18"/>
              </w:rPr>
              <w:t>FastMCP with stateless_http=True; trivially horizontally scalable.</w:t>
            </w:r>
          </w:p>
        </w:tc>
      </w:tr>
      <w:tr>
        <w:tc>
          <w:tcPr>
            <w:tcW w:type="dxa" w:w="4986"/>
            <w:vAlign w:val="top"/>
          </w:tcPr>
          <w:p>
            <w:r/>
            <w:r>
              <w:rPr>
                <w:rFonts w:ascii="Calibri" w:hAnsi="Calibri"/>
                <w:b w:val="0"/>
                <w:i w:val="0"/>
                <w:color w:val="000000"/>
                <w:sz w:val="18"/>
              </w:rPr>
              <w:t>Streaming SSE Architecture</w:t>
            </w:r>
          </w:p>
        </w:tc>
        <w:tc>
          <w:tcPr>
            <w:tcW w:type="dxa" w:w="4986"/>
            <w:vAlign w:val="top"/>
          </w:tcPr>
          <w:p>
            <w:r/>
            <w:r>
              <w:rPr>
                <w:rFonts w:ascii="Calibri" w:hAnsi="Calibri"/>
                <w:b w:val="0"/>
                <w:i w:val="0"/>
                <w:color w:val="000000"/>
                <w:sz w:val="18"/>
              </w:rPr>
              <w:t>Token-by-token UX; first-token latency drives perceived speed.</w:t>
            </w:r>
          </w:p>
        </w:tc>
      </w:tr>
      <w:tr>
        <w:tc>
          <w:tcPr>
            <w:tcW w:type="dxa" w:w="4986"/>
            <w:vAlign w:val="top"/>
          </w:tcPr>
          <w:p>
            <w:r/>
            <w:r>
              <w:rPr>
                <w:rFonts w:ascii="Calibri" w:hAnsi="Calibri"/>
                <w:b w:val="0"/>
                <w:i w:val="0"/>
                <w:color w:val="000000"/>
                <w:sz w:val="18"/>
              </w:rPr>
              <w:t>Parameterised Cypher; Two-Hop Cap</w:t>
            </w:r>
          </w:p>
        </w:tc>
        <w:tc>
          <w:tcPr>
            <w:tcW w:type="dxa" w:w="4986"/>
            <w:vAlign w:val="top"/>
          </w:tcPr>
          <w:p>
            <w:r/>
            <w:r>
              <w:rPr>
                <w:rFonts w:ascii="Calibri" w:hAnsi="Calibri"/>
                <w:b w:val="0"/>
                <w:i w:val="0"/>
                <w:color w:val="000000"/>
                <w:sz w:val="18"/>
              </w:rPr>
              <w:t>No injection risk; bounded query cost prevents pathological queries.</w:t>
            </w:r>
          </w:p>
        </w:tc>
      </w:tr>
    </w:tbl>
    <w:p/>
    <w:p>
      <w:pPr>
        <w:spacing w:before="200" w:after="80"/>
        <w:outlineLvl w:val="2"/>
      </w:pPr>
      <w:r>
        <w:rPr>
          <w:rFonts w:ascii="Calibri" w:hAnsi="Calibri"/>
          <w:b/>
          <w:i w:val="0"/>
          <w:color w:val="2E6DA4"/>
          <w:sz w:val="26"/>
        </w:rPr>
        <w:t>5.1  Why These Strengths Matter</w:t>
      </w:r>
    </w:p>
    <w:p>
      <w:pPr>
        <w:spacing w:after="120"/>
        <w:jc w:val="both"/>
      </w:pPr>
      <w:r>
        <w:rPr>
          <w:rFonts w:ascii="Calibri" w:hAnsi="Calibri"/>
          <w:b w:val="0"/>
          <w:i w:val="0"/>
          <w:color w:val="000000"/>
          <w:sz w:val="21"/>
        </w:rPr>
        <w:t>Each positive finding maps directly to a Stage 2 design choice. The DDD / hexagonal pattern is preserved by keeping the Core API as the single graph data interface even after the supervisor-plus-specialist topology is introduced. The forty-four-node ontology becomes the schema contract for the new specialist agents. Dual-LLM provider auto-detection is extended to AWS Bedrock as the primary provider, with Anthropic as fallback. Stateless MCP design is the precondition for AgentCore Gateway adoption. Streaming SSE is preserved end-to-end. Parameterised Cypher and the two-hop cap remain inviolable.</w:t>
      </w:r>
    </w:p>
    <w:p>
      <w:pPr>
        <w:spacing w:before="280" w:after="160"/>
        <w:outlineLvl w:val="1"/>
      </w:pPr>
      <w:r>
        <w:rPr>
          <w:rFonts w:ascii="Calibri" w:hAnsi="Calibri"/>
          <w:b/>
          <w:i w:val="0"/>
          <w:color w:val="1B3A6B"/>
          <w:sz w:val="34"/>
        </w:rPr>
        <w:t>Quick Wins versus Strategic Items</w:t>
      </w:r>
    </w:p>
    <w:p>
      <w:pPr>
        <w:spacing w:before="200" w:after="80"/>
        <w:outlineLvl w:val="2"/>
      </w:pPr>
      <w:r>
        <w:rPr>
          <w:rFonts w:ascii="Calibri" w:hAnsi="Calibri"/>
          <w:b/>
          <w:i w:val="0"/>
          <w:color w:val="2E6DA4"/>
          <w:sz w:val="26"/>
        </w:rPr>
        <w:t>6.1  Programme Sequencing</w:t>
      </w:r>
    </w:p>
    <w:p>
      <w:pPr>
        <w:spacing w:after="120"/>
        <w:jc w:val="both"/>
      </w:pPr>
      <w:r>
        <w:rPr>
          <w:rFonts w:ascii="Calibri" w:hAnsi="Calibri"/>
          <w:b w:val="0"/>
          <w:i w:val="0"/>
          <w:color w:val="000000"/>
          <w:sz w:val="21"/>
        </w:rPr>
        <w:t>Half of the findings — eleven of twenty-one — can be resolved in 0.5 to 1.0 day each and should be batched into a single hardening sprint at the start of Phase 1. The remaining items require multi-day investment and are sequenced into Phases 1 (heavy lifting on observability), 2 (session and PII), and 3 (rate limiting, token revocation).</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Category</w:t>
            </w:r>
          </w:p>
        </w:tc>
        <w:tc>
          <w:tcPr>
            <w:tcW w:type="dxa" w:w="3324"/>
            <w:shd w:val="clear" w:color="auto" w:fill="1B3A6B"/>
            <w:vAlign w:val="top"/>
          </w:tcPr>
          <w:p>
            <w:r/>
            <w:r>
              <w:rPr>
                <w:rFonts w:ascii="Calibri" w:hAnsi="Calibri"/>
                <w:b/>
                <w:i w:val="0"/>
                <w:color w:val="FFFFFF"/>
                <w:sz w:val="18"/>
              </w:rPr>
              <w:t>Findings</w:t>
            </w:r>
          </w:p>
        </w:tc>
        <w:tc>
          <w:tcPr>
            <w:tcW w:type="dxa" w:w="3324"/>
            <w:shd w:val="clear" w:color="auto" w:fill="1B3A6B"/>
            <w:vAlign w:val="top"/>
          </w:tcPr>
          <w:p>
            <w:r/>
            <w:r>
              <w:rPr>
                <w:rFonts w:ascii="Calibri" w:hAnsi="Calibri"/>
                <w:b/>
                <w:i w:val="0"/>
                <w:color w:val="FFFFFF"/>
                <w:sz w:val="18"/>
              </w:rPr>
              <w:t>Total Effort</w:t>
            </w:r>
          </w:p>
        </w:tc>
      </w:tr>
      <w:tr>
        <w:tc>
          <w:tcPr>
            <w:tcW w:type="dxa" w:w="3324"/>
            <w:vAlign w:val="top"/>
          </w:tcPr>
          <w:p>
            <w:r/>
            <w:r>
              <w:rPr>
                <w:rFonts w:ascii="Calibri" w:hAnsi="Calibri"/>
                <w:b w:val="0"/>
                <w:i w:val="0"/>
                <w:color w:val="000000"/>
                <w:sz w:val="18"/>
              </w:rPr>
              <w:t>Quick Wins (0.5 – 1 day)</w:t>
            </w:r>
          </w:p>
        </w:tc>
        <w:tc>
          <w:tcPr>
            <w:tcW w:type="dxa" w:w="3324"/>
            <w:vAlign w:val="top"/>
          </w:tcPr>
          <w:p>
            <w:r/>
            <w:r>
              <w:rPr>
                <w:rFonts w:ascii="Calibri" w:hAnsi="Calibri"/>
                <w:b w:val="0"/>
                <w:i w:val="0"/>
                <w:color w:val="000000"/>
                <w:sz w:val="18"/>
              </w:rPr>
              <w:t>SEC-01, AGT-01, AGT-02, AGT-03, AGT-04, AGT-05, SEC-02, DB-01, DB-02, DB-03, OBS-04, GRAPH-01</w:t>
            </w:r>
          </w:p>
        </w:tc>
        <w:tc>
          <w:tcPr>
            <w:tcW w:type="dxa" w:w="3324"/>
            <w:vAlign w:val="top"/>
          </w:tcPr>
          <w:p>
            <w:r/>
            <w:r>
              <w:rPr>
                <w:rFonts w:ascii="Calibri" w:hAnsi="Calibri"/>
                <w:b w:val="0"/>
                <w:i w:val="0"/>
                <w:color w:val="000000"/>
                <w:sz w:val="18"/>
              </w:rPr>
              <w:t>≈ 8 days</w:t>
            </w:r>
          </w:p>
        </w:tc>
      </w:tr>
      <w:tr>
        <w:tc>
          <w:tcPr>
            <w:tcW w:type="dxa" w:w="3324"/>
            <w:vAlign w:val="top"/>
          </w:tcPr>
          <w:p>
            <w:r/>
            <w:r>
              <w:rPr>
                <w:rFonts w:ascii="Calibri" w:hAnsi="Calibri"/>
                <w:b w:val="0"/>
                <w:i w:val="0"/>
                <w:color w:val="000000"/>
                <w:sz w:val="18"/>
              </w:rPr>
              <w:t>Strategic (2 – 5 days)</w:t>
            </w:r>
          </w:p>
        </w:tc>
        <w:tc>
          <w:tcPr>
            <w:tcW w:type="dxa" w:w="3324"/>
            <w:vAlign w:val="top"/>
          </w:tcPr>
          <w:p>
            <w:r/>
            <w:r>
              <w:rPr>
                <w:rFonts w:ascii="Calibri" w:hAnsi="Calibri"/>
                <w:b w:val="0"/>
                <w:i w:val="0"/>
                <w:color w:val="000000"/>
                <w:sz w:val="18"/>
              </w:rPr>
              <w:t>SEC-03, SEC-04, SEC-05, OBS-01, OBS-02, OBS-03, AGT-06, GRAPH-02</w:t>
            </w:r>
          </w:p>
        </w:tc>
        <w:tc>
          <w:tcPr>
            <w:tcW w:type="dxa" w:w="3324"/>
            <w:vAlign w:val="top"/>
          </w:tcPr>
          <w:p>
            <w:r/>
            <w:r>
              <w:rPr>
                <w:rFonts w:ascii="Calibri" w:hAnsi="Calibri"/>
                <w:b w:val="0"/>
                <w:i w:val="0"/>
                <w:color w:val="000000"/>
                <w:sz w:val="18"/>
              </w:rPr>
              <w:t>≈ 23 days</w:t>
            </w:r>
          </w:p>
        </w:tc>
      </w:tr>
    </w:tbl>
    <w:p/>
    <w:p>
      <w:r>
        <w:br w:type="page"/>
      </w:r>
    </w:p>
    <w:p>
      <w:pPr>
        <w:spacing w:before="360" w:after="240"/>
        <w:outlineLvl w:val="0"/>
      </w:pPr>
      <w:r>
        <w:rPr>
          <w:rFonts w:ascii="Calibri" w:hAnsi="Calibri"/>
          <w:b/>
          <w:i w:val="0"/>
          <w:color w:val="A6192E"/>
          <w:sz w:val="48"/>
        </w:rPr>
        <w:t>Part II — Next-Generation Architecture</w:t>
      </w:r>
    </w:p>
    <w:p>
      <w:r>
        <w:br w:type="page"/>
      </w:r>
    </w:p>
    <w:p>
      <w:pPr>
        <w:spacing w:before="280" w:after="160"/>
        <w:outlineLvl w:val="1"/>
      </w:pPr>
      <w:r>
        <w:rPr>
          <w:rFonts w:ascii="Calibri" w:hAnsi="Calibri"/>
          <w:b/>
          <w:i w:val="0"/>
          <w:color w:val="1B3A6B"/>
          <w:sz w:val="34"/>
        </w:rPr>
        <w:t>Target State Overview</w:t>
      </w:r>
    </w:p>
    <w:p>
      <w:pPr>
        <w:spacing w:before="200" w:after="80"/>
        <w:outlineLvl w:val="2"/>
      </w:pPr>
      <w:r>
        <w:rPr>
          <w:rFonts w:ascii="Calibri" w:hAnsi="Calibri"/>
          <w:b/>
          <w:i w:val="0"/>
          <w:color w:val="2E6DA4"/>
          <w:sz w:val="26"/>
        </w:rPr>
        <w:t>7.1  Headline Picture</w:t>
      </w:r>
    </w:p>
    <w:p>
      <w:pPr>
        <w:spacing w:after="120"/>
        <w:jc w:val="both"/>
      </w:pPr>
      <w:r>
        <w:rPr>
          <w:rFonts w:ascii="Calibri" w:hAnsi="Calibri"/>
          <w:b w:val="0"/>
          <w:i w:val="0"/>
          <w:color w:val="000000"/>
          <w:sz w:val="21"/>
        </w:rPr>
        <w:t>The next-generation architecture (CSL_Arch_nextGen.pdf) re-imagines Eugene as one specialist agent within a CSL-owned orchestration layer running on AWS Bedrock AgentCore. The diagram below summarises the target state.</w:t>
      </w:r>
    </w:p>
    <w:p>
      <w:pPr>
        <w:jc w:val="center"/>
      </w:pPr>
      <w:r>
        <w:drawing>
          <wp:inline xmlns:a="http://schemas.openxmlformats.org/drawingml/2006/main" xmlns:pic="http://schemas.openxmlformats.org/drawingml/2006/picture">
            <wp:extent cx="5943600" cy="4021621"/>
            <wp:docPr id="2" name="Picture 2"/>
            <wp:cNvGraphicFramePr>
              <a:graphicFrameLocks noChangeAspect="1"/>
            </wp:cNvGraphicFramePr>
            <a:graphic>
              <a:graphicData uri="http://schemas.openxmlformats.org/drawingml/2006/picture">
                <pic:pic>
                  <pic:nvPicPr>
                    <pic:cNvPr id="0" name="image.png"/>
                    <pic:cNvPicPr/>
                  </pic:nvPicPr>
                  <pic:blipFill>
                    <a:blip r:embed="rId12"/>
                    <a:stretch>
                      <a:fillRect/>
                    </a:stretch>
                  </pic:blipFill>
                  <pic:spPr>
                    <a:xfrm>
                      <a:off x="0" y="0"/>
                      <a:ext cx="5943600" cy="4021621"/>
                    </a:xfrm>
                    <a:prstGeom prst="rect"/>
                  </pic:spPr>
                </pic:pic>
              </a:graphicData>
            </a:graphic>
          </wp:inline>
        </w:drawing>
      </w:r>
    </w:p>
    <w:p>
      <w:pPr>
        <w:spacing w:before="200" w:after="80"/>
        <w:outlineLvl w:val="2"/>
      </w:pPr>
      <w:r>
        <w:rPr>
          <w:rFonts w:ascii="Calibri" w:hAnsi="Calibri"/>
          <w:b/>
          <w:i w:val="0"/>
          <w:color w:val="2E6DA4"/>
          <w:sz w:val="26"/>
        </w:rPr>
        <w:t>7.2  Layer Decomposition</w:t>
      </w:r>
    </w:p>
    <w:tbl>
      <w:tblPr>
        <w:tblStyle w:val="LightGrid-Accent1"/>
        <w:tblW w:type="auto" w:w="0"/>
        <w:jc w:val="center"/>
        <w:tblLook w:firstColumn="1" w:firstRow="1" w:lastColumn="0" w:lastRow="0" w:noHBand="0" w:noVBand="1" w:val="04A0"/>
      </w:tblPr>
      <w:tblGrid>
        <w:gridCol w:w="4986"/>
        <w:gridCol w:w="4986"/>
      </w:tblGrid>
      <w:tr>
        <w:tc>
          <w:tcPr>
            <w:tcW w:type="dxa" w:w="4986"/>
            <w:shd w:val="clear" w:color="auto" w:fill="1B3A6B"/>
            <w:vAlign w:val="top"/>
          </w:tcPr>
          <w:p>
            <w:r/>
            <w:r>
              <w:rPr>
                <w:rFonts w:ascii="Calibri" w:hAnsi="Calibri"/>
                <w:b/>
                <w:i w:val="0"/>
                <w:color w:val="FFFFFF"/>
                <w:sz w:val="18"/>
              </w:rPr>
              <w:t>Layer</w:t>
            </w:r>
          </w:p>
        </w:tc>
        <w:tc>
          <w:tcPr>
            <w:tcW w:type="dxa" w:w="4986"/>
            <w:shd w:val="clear" w:color="auto" w:fill="1B3A6B"/>
            <w:vAlign w:val="top"/>
          </w:tcPr>
          <w:p>
            <w:r/>
            <w:r>
              <w:rPr>
                <w:rFonts w:ascii="Calibri" w:hAnsi="Calibri"/>
                <w:b/>
                <w:i w:val="0"/>
                <w:color w:val="FFFFFF"/>
                <w:sz w:val="18"/>
              </w:rPr>
              <w:t>Responsibility</w:t>
            </w:r>
          </w:p>
        </w:tc>
      </w:tr>
      <w:tr>
        <w:tc>
          <w:tcPr>
            <w:tcW w:type="dxa" w:w="4986"/>
            <w:vAlign w:val="top"/>
          </w:tcPr>
          <w:p>
            <w:r/>
            <w:r>
              <w:rPr>
                <w:rFonts w:ascii="Calibri" w:hAnsi="Calibri"/>
                <w:b w:val="0"/>
                <w:i w:val="0"/>
                <w:color w:val="000000"/>
                <w:sz w:val="18"/>
              </w:rPr>
              <w:t>Users &amp; Experience</w:t>
            </w:r>
          </w:p>
        </w:tc>
        <w:tc>
          <w:tcPr>
            <w:tcW w:type="dxa" w:w="4986"/>
            <w:vAlign w:val="top"/>
          </w:tcPr>
          <w:p>
            <w:r/>
            <w:r>
              <w:rPr>
                <w:rFonts w:ascii="Calibri" w:hAnsi="Calibri"/>
                <w:b w:val="0"/>
                <w:i w:val="0"/>
                <w:color w:val="000000"/>
                <w:sz w:val="18"/>
              </w:rPr>
              <w:t>Asset-in-licensing portal; chat UI; decision-ready outputs for BD / Researchers</w:t>
            </w:r>
          </w:p>
        </w:tc>
      </w:tr>
      <w:tr>
        <w:tc>
          <w:tcPr>
            <w:tcW w:type="dxa" w:w="4986"/>
            <w:vAlign w:val="top"/>
          </w:tcPr>
          <w:p>
            <w:r/>
            <w:r>
              <w:rPr>
                <w:rFonts w:ascii="Calibri" w:hAnsi="Calibri"/>
                <w:b w:val="0"/>
                <w:i w:val="0"/>
                <w:color w:val="000000"/>
                <w:sz w:val="18"/>
              </w:rPr>
              <w:t>Agent Orchestration &amp; Policy (CSL)</w:t>
            </w:r>
          </w:p>
        </w:tc>
        <w:tc>
          <w:tcPr>
            <w:tcW w:type="dxa" w:w="4986"/>
            <w:vAlign w:val="top"/>
          </w:tcPr>
          <w:p>
            <w:r/>
            <w:r>
              <w:rPr>
                <w:rFonts w:ascii="Calibri" w:hAnsi="Calibri"/>
                <w:b w:val="0"/>
                <w:i w:val="0"/>
                <w:color w:val="000000"/>
                <w:sz w:val="18"/>
              </w:rPr>
              <w:t>Supervisor + specialist agents; routing; policy enforcement</w:t>
            </w:r>
          </w:p>
        </w:tc>
      </w:tr>
      <w:tr>
        <w:tc>
          <w:tcPr>
            <w:tcW w:type="dxa" w:w="4986"/>
            <w:vAlign w:val="top"/>
          </w:tcPr>
          <w:p>
            <w:r/>
            <w:r>
              <w:rPr>
                <w:rFonts w:ascii="Calibri" w:hAnsi="Calibri"/>
                <w:b w:val="0"/>
                <w:i w:val="0"/>
                <w:color w:val="000000"/>
                <w:sz w:val="18"/>
              </w:rPr>
              <w:t>AWS Bedrock AgentCore</w:t>
            </w:r>
          </w:p>
        </w:tc>
        <w:tc>
          <w:tcPr>
            <w:tcW w:type="dxa" w:w="4986"/>
            <w:vAlign w:val="top"/>
          </w:tcPr>
          <w:p>
            <w:r/>
            <w:r>
              <w:rPr>
                <w:rFonts w:ascii="Calibri" w:hAnsi="Calibri"/>
                <w:b w:val="0"/>
                <w:i w:val="0"/>
                <w:color w:val="000000"/>
                <w:sz w:val="18"/>
              </w:rPr>
              <w:t>Runtime, Memory, Gateway, Observability</w:t>
            </w:r>
          </w:p>
        </w:tc>
      </w:tr>
      <w:tr>
        <w:tc>
          <w:tcPr>
            <w:tcW w:type="dxa" w:w="4986"/>
            <w:vAlign w:val="top"/>
          </w:tcPr>
          <w:p>
            <w:r/>
            <w:r>
              <w:rPr>
                <w:rFonts w:ascii="Calibri" w:hAnsi="Calibri"/>
                <w:b w:val="0"/>
                <w:i w:val="0"/>
                <w:color w:val="000000"/>
                <w:sz w:val="18"/>
              </w:rPr>
              <w:t>Authoritative Knowledge</w:t>
            </w:r>
          </w:p>
        </w:tc>
        <w:tc>
          <w:tcPr>
            <w:tcW w:type="dxa" w:w="4986"/>
            <w:vAlign w:val="top"/>
          </w:tcPr>
          <w:p>
            <w:r/>
            <w:r>
              <w:rPr>
                <w:rFonts w:ascii="Calibri" w:hAnsi="Calibri"/>
                <w:b w:val="0"/>
                <w:i w:val="0"/>
                <w:color w:val="000000"/>
                <w:sz w:val="18"/>
              </w:rPr>
              <w:t>Eugene KG, Milvus, Bedrock Knowledge Base, SharePoint / Confluence, eRooms</w:t>
            </w:r>
          </w:p>
        </w:tc>
      </w:tr>
      <w:tr>
        <w:tc>
          <w:tcPr>
            <w:tcW w:type="dxa" w:w="4986"/>
            <w:vAlign w:val="top"/>
          </w:tcPr>
          <w:p>
            <w:r/>
            <w:r>
              <w:rPr>
                <w:rFonts w:ascii="Calibri" w:hAnsi="Calibri"/>
                <w:b w:val="0"/>
                <w:i w:val="0"/>
                <w:color w:val="000000"/>
                <w:sz w:val="18"/>
              </w:rPr>
              <w:t>Data Sources</w:t>
            </w:r>
          </w:p>
        </w:tc>
        <w:tc>
          <w:tcPr>
            <w:tcW w:type="dxa" w:w="4986"/>
            <w:vAlign w:val="top"/>
          </w:tcPr>
          <w:p>
            <w:r/>
            <w:r>
              <w:rPr>
                <w:rFonts w:ascii="Calibri" w:hAnsi="Calibri"/>
                <w:b w:val="0"/>
                <w:i w:val="0"/>
                <w:color w:val="000000"/>
                <w:sz w:val="18"/>
              </w:rPr>
              <w:t>Public (PubMed, USPTO, Trials, SEC, ChEMBL); Partner (Prudentia)</w:t>
            </w:r>
          </w:p>
        </w:tc>
      </w:tr>
      <w:tr>
        <w:tc>
          <w:tcPr>
            <w:tcW w:type="dxa" w:w="4986"/>
            <w:vAlign w:val="top"/>
          </w:tcPr>
          <w:p>
            <w:r/>
            <w:r>
              <w:rPr>
                <w:rFonts w:ascii="Calibri" w:hAnsi="Calibri"/>
                <w:b w:val="0"/>
                <w:i w:val="0"/>
                <w:color w:val="000000"/>
                <w:sz w:val="18"/>
              </w:rPr>
              <w:t>Security, Identity &amp; Governance</w:t>
            </w:r>
          </w:p>
        </w:tc>
        <w:tc>
          <w:tcPr>
            <w:tcW w:type="dxa" w:w="4986"/>
            <w:vAlign w:val="top"/>
          </w:tcPr>
          <w:p>
            <w:r/>
            <w:r>
              <w:rPr>
                <w:rFonts w:ascii="Calibri" w:hAnsi="Calibri"/>
                <w:b w:val="0"/>
                <w:i w:val="0"/>
                <w:color w:val="000000"/>
                <w:sz w:val="18"/>
              </w:rPr>
              <w:t>Entra SSO + RBAC; Guardrails; PrivateLink; KMS; X-Ray; Audit</w:t>
            </w:r>
          </w:p>
        </w:tc>
      </w:tr>
    </w:tbl>
    <w:p/>
    <w:p>
      <w:pPr>
        <w:spacing w:before="200" w:after="80"/>
        <w:outlineLvl w:val="2"/>
      </w:pPr>
      <w:r>
        <w:rPr>
          <w:rFonts w:ascii="Calibri" w:hAnsi="Calibri"/>
          <w:b/>
          <w:i w:val="0"/>
          <w:color w:val="2E6DA4"/>
          <w:sz w:val="26"/>
        </w:rPr>
        <w:t>7.3  Key Shifts From the Current State</w:t>
      </w:r>
    </w:p>
    <w:p>
      <w:pPr>
        <w:pStyle w:val="ListBullet"/>
        <w:spacing w:after="40"/>
      </w:pPr>
      <w:r>
        <w:rPr>
          <w:rFonts w:ascii="Calibri" w:hAnsi="Calibri"/>
          <w:b w:val="0"/>
          <w:i w:val="0"/>
          <w:sz w:val="21"/>
        </w:rPr>
        <w:t>Single agent → Supervisor + 5 specialists (Eugene, Research, PubMed, SEC, ClinicalTrials, Synthesis). Domain-optimised models and tool sets.</w:t>
      </w:r>
    </w:p>
    <w:p>
      <w:pPr>
        <w:pStyle w:val="ListBullet"/>
        <w:spacing w:after="40"/>
      </w:pPr>
      <w:r>
        <w:rPr>
          <w:rFonts w:ascii="Calibri" w:hAnsi="Calibri"/>
          <w:b w:val="0"/>
          <w:i w:val="0"/>
          <w:sz w:val="21"/>
        </w:rPr>
        <w:t>External LLM APIs → AWS Bedrock as primary LLM runtime, with Anthropic as fallback. Data residency stays inside the AWS partition.</w:t>
      </w:r>
    </w:p>
    <w:p>
      <w:pPr>
        <w:pStyle w:val="ListBullet"/>
        <w:spacing w:after="40"/>
      </w:pPr>
      <w:r>
        <w:rPr>
          <w:rFonts w:ascii="Calibri" w:hAnsi="Calibri"/>
          <w:b w:val="0"/>
          <w:i w:val="0"/>
          <w:sz w:val="21"/>
        </w:rPr>
        <w:t>File-based sessions → AgentCore Memory (managed) or DynamoDB / ElastiCache. Durability and horizontal scale.</w:t>
      </w:r>
    </w:p>
    <w:p>
      <w:pPr>
        <w:pStyle w:val="ListBullet"/>
        <w:spacing w:after="40"/>
      </w:pPr>
      <w:r>
        <w:rPr>
          <w:rFonts w:ascii="Calibri" w:hAnsi="Calibri"/>
          <w:b w:val="0"/>
          <w:i w:val="0"/>
          <w:sz w:val="21"/>
        </w:rPr>
        <w:t>Graph-only retrieval → Graph + Bedrock Knowledge Base + Milvus + SharePoint / Confluence / eRooms. Eugene becomes the authoritative structured source; unstructured CSL knowledge is retrieved via Bedrock KB; deal-room artefacts via controlled-access policies.</w:t>
      </w:r>
    </w:p>
    <w:p>
      <w:pPr>
        <w:pStyle w:val="ListBullet"/>
        <w:spacing w:after="40"/>
      </w:pPr>
      <w:r>
        <w:rPr>
          <w:rFonts w:ascii="Calibri" w:hAnsi="Calibri"/>
          <w:b w:val="0"/>
          <w:i w:val="0"/>
          <w:sz w:val="21"/>
        </w:rPr>
        <w:t>Basic logging → AgentCore Observability + CloudWatch + X-Ray. Distributed tracing, structured logs, and metrics with unified alerting.</w:t>
      </w:r>
    </w:p>
    <w:p>
      <w:pPr>
        <w:pStyle w:val="ListBullet"/>
        <w:spacing w:after="40"/>
      </w:pPr>
      <w:r>
        <w:rPr>
          <w:rFonts w:ascii="Calibri" w:hAnsi="Calibri"/>
          <w:b w:val="0"/>
          <w:i w:val="0"/>
          <w:sz w:val="21"/>
        </w:rPr>
        <w:t>12 MCP tools → 16+ tools spanning PubMed, SEC EDGAR, ClinicalTrials, ChEMBL, plus the existing Eugene tool set.</w:t>
      </w:r>
    </w:p>
    <w:p>
      <w:pPr>
        <w:pStyle w:val="ListBullet"/>
        <w:spacing w:after="40"/>
      </w:pPr>
      <w:r>
        <w:rPr>
          <w:rFonts w:ascii="Calibri" w:hAnsi="Calibri"/>
          <w:b w:val="0"/>
          <w:i w:val="0"/>
          <w:sz w:val="21"/>
        </w:rPr>
        <w:t>Implicit governance → Bedrock Guardrails, AWS PrivateLink, KMS, MFA, and 21 CFR Part 11-grade audit logging baked into every agent action.</w:t>
      </w:r>
    </w:p>
    <w:p>
      <w:pPr>
        <w:spacing w:before="280" w:after="160"/>
        <w:outlineLvl w:val="1"/>
      </w:pPr>
      <w:r>
        <w:rPr>
          <w:rFonts w:ascii="Calibri" w:hAnsi="Calibri"/>
          <w:b/>
          <w:i w:val="0"/>
          <w:color w:val="1B3A6B"/>
          <w:sz w:val="34"/>
        </w:rPr>
        <w:t>Specialist Agent Topology</w:t>
      </w:r>
    </w:p>
    <w:p>
      <w:pPr>
        <w:spacing w:before="200" w:after="80"/>
        <w:outlineLvl w:val="2"/>
      </w:pPr>
      <w:r>
        <w:rPr>
          <w:rFonts w:ascii="Calibri" w:hAnsi="Calibri"/>
          <w:b/>
          <w:i w:val="0"/>
          <w:color w:val="2E6DA4"/>
          <w:sz w:val="26"/>
        </w:rPr>
        <w:t>8.1  Supervisor + Five Specialists</w:t>
      </w:r>
    </w:p>
    <w:p>
      <w:pPr>
        <w:spacing w:after="120"/>
        <w:jc w:val="both"/>
      </w:pPr>
      <w:r>
        <w:rPr>
          <w:rFonts w:ascii="Calibri" w:hAnsi="Calibri"/>
          <w:b w:val="0"/>
          <w:i w:val="0"/>
          <w:color w:val="000000"/>
          <w:sz w:val="21"/>
        </w:rPr>
        <w:t>The proposed multi-agent layout is summarised below. The Supervisor performs intent classification and dispatches to one or more specialists, in parallel where the intent permits. Each specialist publishes its own MCP tool surface; the Supervisor never queries data sources directly, preserving a single audit boundary per request.</w:t>
      </w:r>
    </w:p>
    <w:tbl>
      <w:tblPr>
        <w:tblStyle w:val="LightGrid-Accent1"/>
        <w:tblW w:type="auto" w:w="0"/>
        <w:jc w:val="center"/>
        <w:tblLook w:firstColumn="1" w:firstRow="1" w:lastColumn="0" w:lastRow="0" w:noHBand="0" w:noVBand="1" w:val="04A0"/>
      </w:tblPr>
      <w:tblGrid>
        <w:gridCol w:w="2493"/>
        <w:gridCol w:w="2493"/>
        <w:gridCol w:w="2493"/>
        <w:gridCol w:w="2493"/>
      </w:tblGrid>
      <w:tr>
        <w:tc>
          <w:tcPr>
            <w:tcW w:type="dxa" w:w="2493"/>
            <w:shd w:val="clear" w:color="auto" w:fill="1B3A6B"/>
            <w:vAlign w:val="top"/>
          </w:tcPr>
          <w:p>
            <w:r/>
            <w:r>
              <w:rPr>
                <w:rFonts w:ascii="Calibri" w:hAnsi="Calibri"/>
                <w:b/>
                <w:i w:val="0"/>
                <w:color w:val="FFFFFF"/>
                <w:sz w:val="18"/>
              </w:rPr>
              <w:t>Agent</w:t>
            </w:r>
          </w:p>
        </w:tc>
        <w:tc>
          <w:tcPr>
            <w:tcW w:type="dxa" w:w="2493"/>
            <w:shd w:val="clear" w:color="auto" w:fill="1B3A6B"/>
            <w:vAlign w:val="top"/>
          </w:tcPr>
          <w:p>
            <w:r/>
            <w:r>
              <w:rPr>
                <w:rFonts w:ascii="Calibri" w:hAnsi="Calibri"/>
                <w:b/>
                <w:i w:val="0"/>
                <w:color w:val="FFFFFF"/>
                <w:sz w:val="18"/>
              </w:rPr>
              <w:t>Responsibility</w:t>
            </w:r>
          </w:p>
        </w:tc>
        <w:tc>
          <w:tcPr>
            <w:tcW w:type="dxa" w:w="2493"/>
            <w:shd w:val="clear" w:color="auto" w:fill="1B3A6B"/>
            <w:vAlign w:val="top"/>
          </w:tcPr>
          <w:p>
            <w:r/>
            <w:r>
              <w:rPr>
                <w:rFonts w:ascii="Calibri" w:hAnsi="Calibri"/>
                <w:b/>
                <w:i w:val="0"/>
                <w:color w:val="FFFFFF"/>
                <w:sz w:val="18"/>
              </w:rPr>
              <w:t>Tools</w:t>
            </w:r>
          </w:p>
        </w:tc>
        <w:tc>
          <w:tcPr>
            <w:tcW w:type="dxa" w:w="2493"/>
            <w:shd w:val="clear" w:color="auto" w:fill="1B3A6B"/>
            <w:vAlign w:val="top"/>
          </w:tcPr>
          <w:p>
            <w:r/>
            <w:r>
              <w:rPr>
                <w:rFonts w:ascii="Calibri" w:hAnsi="Calibri"/>
                <w:b/>
                <w:i w:val="0"/>
                <w:color w:val="FFFFFF"/>
                <w:sz w:val="18"/>
              </w:rPr>
              <w:t>Model</w:t>
            </w:r>
          </w:p>
        </w:tc>
      </w:tr>
      <w:tr>
        <w:tc>
          <w:tcPr>
            <w:tcW w:type="dxa" w:w="2493"/>
            <w:vAlign w:val="top"/>
          </w:tcPr>
          <w:p>
            <w:r/>
            <w:r>
              <w:rPr>
                <w:rFonts w:ascii="Calibri" w:hAnsi="Calibri"/>
                <w:b w:val="0"/>
                <w:i w:val="0"/>
                <w:color w:val="000000"/>
                <w:sz w:val="18"/>
              </w:rPr>
              <w:t>Supervisor</w:t>
            </w:r>
          </w:p>
        </w:tc>
        <w:tc>
          <w:tcPr>
            <w:tcW w:type="dxa" w:w="2493"/>
            <w:vAlign w:val="top"/>
          </w:tcPr>
          <w:p>
            <w:r/>
            <w:r>
              <w:rPr>
                <w:rFonts w:ascii="Calibri" w:hAnsi="Calibri"/>
                <w:b w:val="0"/>
                <w:i w:val="0"/>
                <w:color w:val="000000"/>
                <w:sz w:val="18"/>
              </w:rPr>
              <w:t>Intent routing, response synthesis</w:t>
            </w:r>
          </w:p>
        </w:tc>
        <w:tc>
          <w:tcPr>
            <w:tcW w:type="dxa" w:w="2493"/>
            <w:vAlign w:val="top"/>
          </w:tcPr>
          <w:p>
            <w:r/>
            <w:r>
              <w:rPr>
                <w:rFonts w:ascii="Calibri" w:hAnsi="Calibri"/>
                <w:b w:val="0"/>
                <w:i w:val="0"/>
                <w:color w:val="000000"/>
                <w:sz w:val="18"/>
              </w:rPr>
              <w:t>classify_intent, route_to_agent</w:t>
            </w:r>
          </w:p>
        </w:tc>
        <w:tc>
          <w:tcPr>
            <w:tcW w:type="dxa" w:w="2493"/>
            <w:vAlign w:val="top"/>
          </w:tcPr>
          <w:p>
            <w:r/>
            <w:r>
              <w:rPr>
                <w:rFonts w:ascii="Calibri" w:hAnsi="Calibri"/>
                <w:b w:val="0"/>
                <w:i w:val="0"/>
                <w:color w:val="000000"/>
                <w:sz w:val="18"/>
              </w:rPr>
              <w:t>Claude Sonnet</w:t>
            </w:r>
          </w:p>
        </w:tc>
      </w:tr>
      <w:tr>
        <w:tc>
          <w:tcPr>
            <w:tcW w:type="dxa" w:w="2493"/>
            <w:vAlign w:val="top"/>
          </w:tcPr>
          <w:p>
            <w:r/>
            <w:r>
              <w:rPr>
                <w:rFonts w:ascii="Calibri" w:hAnsi="Calibri"/>
                <w:b w:val="0"/>
                <w:i w:val="0"/>
                <w:color w:val="000000"/>
                <w:sz w:val="18"/>
              </w:rPr>
              <w:t>Eugene Agent</w:t>
            </w:r>
          </w:p>
        </w:tc>
        <w:tc>
          <w:tcPr>
            <w:tcW w:type="dxa" w:w="2493"/>
            <w:vAlign w:val="top"/>
          </w:tcPr>
          <w:p>
            <w:r/>
            <w:r>
              <w:rPr>
                <w:rFonts w:ascii="Calibri" w:hAnsi="Calibri"/>
                <w:b w:val="0"/>
                <w:i w:val="0"/>
                <w:color w:val="000000"/>
                <w:sz w:val="18"/>
              </w:rPr>
              <w:t>KG queries, relationship traversal</w:t>
            </w:r>
          </w:p>
        </w:tc>
        <w:tc>
          <w:tcPr>
            <w:tcW w:type="dxa" w:w="2493"/>
            <w:vAlign w:val="top"/>
          </w:tcPr>
          <w:p>
            <w:r/>
            <w:r>
              <w:rPr>
                <w:rFonts w:ascii="Calibri" w:hAnsi="Calibri"/>
                <w:b w:val="0"/>
                <w:i w:val="0"/>
                <w:color w:val="000000"/>
                <w:sz w:val="18"/>
              </w:rPr>
              <w:t>12 Eugene MCP tools</w:t>
            </w:r>
          </w:p>
        </w:tc>
        <w:tc>
          <w:tcPr>
            <w:tcW w:type="dxa" w:w="2493"/>
            <w:vAlign w:val="top"/>
          </w:tcPr>
          <w:p>
            <w:r/>
            <w:r>
              <w:rPr>
                <w:rFonts w:ascii="Calibri" w:hAnsi="Calibri"/>
                <w:b w:val="0"/>
                <w:i w:val="0"/>
                <w:color w:val="000000"/>
                <w:sz w:val="18"/>
              </w:rPr>
              <w:t>Claude Sonnet</w:t>
            </w:r>
          </w:p>
        </w:tc>
      </w:tr>
      <w:tr>
        <w:tc>
          <w:tcPr>
            <w:tcW w:type="dxa" w:w="2493"/>
            <w:vAlign w:val="top"/>
          </w:tcPr>
          <w:p>
            <w:r/>
            <w:r>
              <w:rPr>
                <w:rFonts w:ascii="Calibri" w:hAnsi="Calibri"/>
                <w:b w:val="0"/>
                <w:i w:val="0"/>
                <w:color w:val="000000"/>
                <w:sz w:val="18"/>
              </w:rPr>
              <w:t>Research Agent</w:t>
            </w:r>
          </w:p>
        </w:tc>
        <w:tc>
          <w:tcPr>
            <w:tcW w:type="dxa" w:w="2493"/>
            <w:vAlign w:val="top"/>
          </w:tcPr>
          <w:p>
            <w:r/>
            <w:r>
              <w:rPr>
                <w:rFonts w:ascii="Calibri" w:hAnsi="Calibri"/>
                <w:b w:val="0"/>
                <w:i w:val="0"/>
                <w:color w:val="000000"/>
                <w:sz w:val="18"/>
              </w:rPr>
              <w:t>Free-text research synthesis</w:t>
            </w:r>
          </w:p>
        </w:tc>
        <w:tc>
          <w:tcPr>
            <w:tcW w:type="dxa" w:w="2493"/>
            <w:vAlign w:val="top"/>
          </w:tcPr>
          <w:p>
            <w:r/>
            <w:r>
              <w:rPr>
                <w:rFonts w:ascii="Calibri" w:hAnsi="Calibri"/>
                <w:b w:val="0"/>
                <w:i w:val="0"/>
                <w:color w:val="000000"/>
                <w:sz w:val="18"/>
              </w:rPr>
              <w:t>search_kb, summarise</w:t>
            </w:r>
          </w:p>
        </w:tc>
        <w:tc>
          <w:tcPr>
            <w:tcW w:type="dxa" w:w="2493"/>
            <w:vAlign w:val="top"/>
          </w:tcPr>
          <w:p>
            <w:r/>
            <w:r>
              <w:rPr>
                <w:rFonts w:ascii="Calibri" w:hAnsi="Calibri"/>
                <w:b w:val="0"/>
                <w:i w:val="0"/>
                <w:color w:val="000000"/>
                <w:sz w:val="18"/>
              </w:rPr>
              <w:t>Claude Sonnet</w:t>
            </w:r>
          </w:p>
        </w:tc>
      </w:tr>
      <w:tr>
        <w:tc>
          <w:tcPr>
            <w:tcW w:type="dxa" w:w="2493"/>
            <w:vAlign w:val="top"/>
          </w:tcPr>
          <w:p>
            <w:r/>
            <w:r>
              <w:rPr>
                <w:rFonts w:ascii="Calibri" w:hAnsi="Calibri"/>
                <w:b w:val="0"/>
                <w:i w:val="0"/>
                <w:color w:val="000000"/>
                <w:sz w:val="18"/>
              </w:rPr>
              <w:t>PubMed Agent</w:t>
            </w:r>
          </w:p>
        </w:tc>
        <w:tc>
          <w:tcPr>
            <w:tcW w:type="dxa" w:w="2493"/>
            <w:vAlign w:val="top"/>
          </w:tcPr>
          <w:p>
            <w:r/>
            <w:r>
              <w:rPr>
                <w:rFonts w:ascii="Calibri" w:hAnsi="Calibri"/>
                <w:b w:val="0"/>
                <w:i w:val="0"/>
                <w:color w:val="000000"/>
                <w:sz w:val="18"/>
              </w:rPr>
              <w:t>Literature, citations</w:t>
            </w:r>
          </w:p>
        </w:tc>
        <w:tc>
          <w:tcPr>
            <w:tcW w:type="dxa" w:w="2493"/>
            <w:vAlign w:val="top"/>
          </w:tcPr>
          <w:p>
            <w:r/>
            <w:r>
              <w:rPr>
                <w:rFonts w:ascii="Calibri" w:hAnsi="Calibri"/>
                <w:b w:val="0"/>
                <w:i w:val="0"/>
                <w:color w:val="000000"/>
                <w:sz w:val="18"/>
              </w:rPr>
              <w:t>search_pubmed, get_article</w:t>
            </w:r>
          </w:p>
        </w:tc>
        <w:tc>
          <w:tcPr>
            <w:tcW w:type="dxa" w:w="2493"/>
            <w:vAlign w:val="top"/>
          </w:tcPr>
          <w:p>
            <w:r/>
            <w:r>
              <w:rPr>
                <w:rFonts w:ascii="Calibri" w:hAnsi="Calibri"/>
                <w:b w:val="0"/>
                <w:i w:val="0"/>
                <w:color w:val="000000"/>
                <w:sz w:val="18"/>
              </w:rPr>
              <w:t>GPT-4.1-mini</w:t>
            </w:r>
          </w:p>
        </w:tc>
      </w:tr>
      <w:tr>
        <w:tc>
          <w:tcPr>
            <w:tcW w:type="dxa" w:w="2493"/>
            <w:vAlign w:val="top"/>
          </w:tcPr>
          <w:p>
            <w:r/>
            <w:r>
              <w:rPr>
                <w:rFonts w:ascii="Calibri" w:hAnsi="Calibri"/>
                <w:b w:val="0"/>
                <w:i w:val="0"/>
                <w:color w:val="000000"/>
                <w:sz w:val="18"/>
              </w:rPr>
              <w:t>SEC Agent</w:t>
            </w:r>
          </w:p>
        </w:tc>
        <w:tc>
          <w:tcPr>
            <w:tcW w:type="dxa" w:w="2493"/>
            <w:vAlign w:val="top"/>
          </w:tcPr>
          <w:p>
            <w:r/>
            <w:r>
              <w:rPr>
                <w:rFonts w:ascii="Calibri" w:hAnsi="Calibri"/>
                <w:b w:val="0"/>
                <w:i w:val="0"/>
                <w:color w:val="000000"/>
                <w:sz w:val="18"/>
              </w:rPr>
              <w:t>Filings, M&amp;A, financials</w:t>
            </w:r>
          </w:p>
        </w:tc>
        <w:tc>
          <w:tcPr>
            <w:tcW w:type="dxa" w:w="2493"/>
            <w:vAlign w:val="top"/>
          </w:tcPr>
          <w:p>
            <w:r/>
            <w:r>
              <w:rPr>
                <w:rFonts w:ascii="Calibri" w:hAnsi="Calibri"/>
                <w:b w:val="0"/>
                <w:i w:val="0"/>
                <w:color w:val="000000"/>
                <w:sz w:val="18"/>
              </w:rPr>
              <w:t>search_sec, get_filing</w:t>
            </w:r>
          </w:p>
        </w:tc>
        <w:tc>
          <w:tcPr>
            <w:tcW w:type="dxa" w:w="2493"/>
            <w:vAlign w:val="top"/>
          </w:tcPr>
          <w:p>
            <w:r/>
            <w:r>
              <w:rPr>
                <w:rFonts w:ascii="Calibri" w:hAnsi="Calibri"/>
                <w:b w:val="0"/>
                <w:i w:val="0"/>
                <w:color w:val="000000"/>
                <w:sz w:val="18"/>
              </w:rPr>
              <w:t>GPT-4.1-mini</w:t>
            </w:r>
          </w:p>
        </w:tc>
      </w:tr>
      <w:tr>
        <w:tc>
          <w:tcPr>
            <w:tcW w:type="dxa" w:w="2493"/>
            <w:vAlign w:val="top"/>
          </w:tcPr>
          <w:p>
            <w:r/>
            <w:r>
              <w:rPr>
                <w:rFonts w:ascii="Calibri" w:hAnsi="Calibri"/>
                <w:b w:val="0"/>
                <w:i w:val="0"/>
                <w:color w:val="000000"/>
                <w:sz w:val="18"/>
              </w:rPr>
              <w:t>Trials Agent</w:t>
            </w:r>
          </w:p>
        </w:tc>
        <w:tc>
          <w:tcPr>
            <w:tcW w:type="dxa" w:w="2493"/>
            <w:vAlign w:val="top"/>
          </w:tcPr>
          <w:p>
            <w:r/>
            <w:r>
              <w:rPr>
                <w:rFonts w:ascii="Calibri" w:hAnsi="Calibri"/>
                <w:b w:val="0"/>
                <w:i w:val="0"/>
                <w:color w:val="000000"/>
                <w:sz w:val="18"/>
              </w:rPr>
              <w:t>Trial discovery, protocol</w:t>
            </w:r>
          </w:p>
        </w:tc>
        <w:tc>
          <w:tcPr>
            <w:tcW w:type="dxa" w:w="2493"/>
            <w:vAlign w:val="top"/>
          </w:tcPr>
          <w:p>
            <w:r/>
            <w:r>
              <w:rPr>
                <w:rFonts w:ascii="Calibri" w:hAnsi="Calibri"/>
                <w:b w:val="0"/>
                <w:i w:val="0"/>
                <w:color w:val="000000"/>
                <w:sz w:val="18"/>
              </w:rPr>
              <w:t>search_trials, get_protocol</w:t>
            </w:r>
          </w:p>
        </w:tc>
        <w:tc>
          <w:tcPr>
            <w:tcW w:type="dxa" w:w="2493"/>
            <w:vAlign w:val="top"/>
          </w:tcPr>
          <w:p>
            <w:r/>
            <w:r>
              <w:rPr>
                <w:rFonts w:ascii="Calibri" w:hAnsi="Calibri"/>
                <w:b w:val="0"/>
                <w:i w:val="0"/>
                <w:color w:val="000000"/>
                <w:sz w:val="18"/>
              </w:rPr>
              <w:t>GPT-4.1-mini</w:t>
            </w:r>
          </w:p>
        </w:tc>
      </w:tr>
      <w:tr>
        <w:tc>
          <w:tcPr>
            <w:tcW w:type="dxa" w:w="2493"/>
            <w:vAlign w:val="top"/>
          </w:tcPr>
          <w:p>
            <w:r/>
            <w:r>
              <w:rPr>
                <w:rFonts w:ascii="Calibri" w:hAnsi="Calibri"/>
                <w:b w:val="0"/>
                <w:i w:val="0"/>
                <w:color w:val="000000"/>
                <w:sz w:val="18"/>
              </w:rPr>
              <w:t>Synthesis Agent</w:t>
            </w:r>
          </w:p>
        </w:tc>
        <w:tc>
          <w:tcPr>
            <w:tcW w:type="dxa" w:w="2493"/>
            <w:vAlign w:val="top"/>
          </w:tcPr>
          <w:p>
            <w:r/>
            <w:r>
              <w:rPr>
                <w:rFonts w:ascii="Calibri" w:hAnsi="Calibri"/>
                <w:b w:val="0"/>
                <w:i w:val="0"/>
                <w:color w:val="000000"/>
                <w:sz w:val="18"/>
              </w:rPr>
              <w:t>Cross-source aggregation</w:t>
            </w:r>
          </w:p>
        </w:tc>
        <w:tc>
          <w:tcPr>
            <w:tcW w:type="dxa" w:w="2493"/>
            <w:vAlign w:val="top"/>
          </w:tcPr>
          <w:p>
            <w:r/>
            <w:r>
              <w:rPr>
                <w:rFonts w:ascii="Calibri" w:hAnsi="Calibri"/>
                <w:b w:val="0"/>
                <w:i w:val="0"/>
                <w:color w:val="000000"/>
                <w:sz w:val="18"/>
              </w:rPr>
              <w:t>All read tools</w:t>
            </w:r>
          </w:p>
        </w:tc>
        <w:tc>
          <w:tcPr>
            <w:tcW w:type="dxa" w:w="2493"/>
            <w:vAlign w:val="top"/>
          </w:tcPr>
          <w:p>
            <w:r/>
            <w:r>
              <w:rPr>
                <w:rFonts w:ascii="Calibri" w:hAnsi="Calibri"/>
                <w:b w:val="0"/>
                <w:i w:val="0"/>
                <w:color w:val="000000"/>
                <w:sz w:val="18"/>
              </w:rPr>
              <w:t>Claude Sonnet</w:t>
            </w:r>
          </w:p>
        </w:tc>
      </w:tr>
    </w:tbl>
    <w:p/>
    <w:p>
      <w:pPr>
        <w:spacing w:before="200" w:after="80"/>
        <w:outlineLvl w:val="2"/>
      </w:pPr>
      <w:r>
        <w:rPr>
          <w:rFonts w:ascii="Calibri" w:hAnsi="Calibri"/>
          <w:b/>
          <w:i w:val="0"/>
          <w:color w:val="2E6DA4"/>
          <w:sz w:val="26"/>
        </w:rPr>
        <w:t>8.2  Routing Policy</w:t>
      </w:r>
    </w:p>
    <w:p>
      <w:pPr>
        <w:spacing w:after="120"/>
        <w:jc w:val="both"/>
      </w:pPr>
      <w:r>
        <w:rPr>
          <w:rFonts w:ascii="Calibri" w:hAnsi="Calibri"/>
          <w:b w:val="0"/>
          <w:i w:val="0"/>
          <w:color w:val="000000"/>
          <w:sz w:val="21"/>
        </w:rPr>
        <w:t>The Supervisor's routing policy is intent-driven. Intents are classified into a small number of buckets — Graph Query, Literature Search, Financial / M&amp;A, Trial Search, Cross-Source Research, Out-of-Scope — with Claude Sonnet as the classifier. Each intent maps to a default specialist plus optional secondaries. Cross-Source Research dispatches to Research, Eugene, PubMed, and SEC concurrently and reconciles answers via the Synthesis Agent.</w:t>
      </w:r>
    </w:p>
    <w:p>
      <w:pPr>
        <w:spacing w:before="200" w:after="80"/>
        <w:outlineLvl w:val="2"/>
      </w:pPr>
      <w:r>
        <w:rPr>
          <w:rFonts w:ascii="Calibri" w:hAnsi="Calibri"/>
          <w:b/>
          <w:i w:val="0"/>
          <w:color w:val="2E6DA4"/>
          <w:sz w:val="26"/>
        </w:rPr>
        <w:t>8.3  Why Specialists, Not One Agent</w:t>
      </w:r>
    </w:p>
    <w:p>
      <w:pPr>
        <w:spacing w:after="120"/>
        <w:jc w:val="both"/>
      </w:pPr>
      <w:r>
        <w:rPr>
          <w:rFonts w:ascii="Calibri" w:hAnsi="Calibri"/>
          <w:b w:val="0"/>
          <w:i w:val="0"/>
          <w:color w:val="000000"/>
          <w:sz w:val="21"/>
        </w:rPr>
        <w:t>The single-agent design has three pathologies that worsen with scale. First, prompt and tool bloat: the system prompt currently lists twelve tool schemas; with PubMed, SEC, Trials, and ChEMBL added, the schema bill approaches the model's context budget at every turn. Second, domain-inappropriate model selection: financial filings and biomedical literature do not benefit from the same model size or temperature. Third, auditability: a single conversation that touches three domains is harder to attribute, govern, and reuse. Specialisation addresses all three.</w:t>
      </w:r>
    </w:p>
    <w:p>
      <w:pPr>
        <w:spacing w:before="280" w:after="160"/>
        <w:outlineLvl w:val="1"/>
      </w:pPr>
      <w:r>
        <w:rPr>
          <w:rFonts w:ascii="Calibri" w:hAnsi="Calibri"/>
          <w:b/>
          <w:i w:val="0"/>
          <w:color w:val="1B3A6B"/>
          <w:sz w:val="34"/>
        </w:rPr>
        <w:t>AgentCore Layer</w:t>
      </w:r>
    </w:p>
    <w:p>
      <w:pPr>
        <w:spacing w:before="200" w:after="80"/>
        <w:outlineLvl w:val="2"/>
      </w:pPr>
      <w:r>
        <w:rPr>
          <w:rFonts w:ascii="Calibri" w:hAnsi="Calibri"/>
          <w:b/>
          <w:i w:val="0"/>
          <w:color w:val="2E6DA4"/>
          <w:sz w:val="26"/>
        </w:rPr>
        <w:t>9.1  AgentCore Primitives</w:t>
      </w:r>
    </w:p>
    <w:p>
      <w:pPr>
        <w:pStyle w:val="ListBullet"/>
        <w:spacing w:after="40"/>
      </w:pPr>
      <w:r>
        <w:rPr>
          <w:rFonts w:ascii="Calibri" w:hAnsi="Calibri"/>
          <w:b w:val="0"/>
          <w:i w:val="0"/>
          <w:sz w:val="21"/>
        </w:rPr>
        <w:t>AgentCore Runtime — managed agent execution; replaces the bespoke FastAPI agent service.</w:t>
      </w:r>
    </w:p>
    <w:p>
      <w:pPr>
        <w:pStyle w:val="ListBullet"/>
        <w:spacing w:after="40"/>
      </w:pPr>
      <w:r>
        <w:rPr>
          <w:rFonts w:ascii="Calibri" w:hAnsi="Calibri"/>
          <w:b w:val="0"/>
          <w:i w:val="0"/>
          <w:sz w:val="21"/>
        </w:rPr>
        <w:t>AgentCore Memory — managed conversation state; replaces the FileSessionManager and the AGT-06 finding.</w:t>
      </w:r>
    </w:p>
    <w:p>
      <w:pPr>
        <w:pStyle w:val="ListBullet"/>
        <w:spacing w:after="40"/>
      </w:pPr>
      <w:r>
        <w:rPr>
          <w:rFonts w:ascii="Calibri" w:hAnsi="Calibri"/>
          <w:b w:val="0"/>
          <w:i w:val="0"/>
          <w:sz w:val="21"/>
        </w:rPr>
        <w:t>AgentCore Gateway — managed tool surface and authentication; replaces the bespoke FastMCP front-door, with Entra ID and JWT validation lifted to the gateway.</w:t>
      </w:r>
    </w:p>
    <w:p>
      <w:pPr>
        <w:pStyle w:val="ListBullet"/>
        <w:spacing w:after="40"/>
      </w:pPr>
      <w:r>
        <w:rPr>
          <w:rFonts w:ascii="Calibri" w:hAnsi="Calibri"/>
          <w:b w:val="0"/>
          <w:i w:val="0"/>
          <w:sz w:val="21"/>
        </w:rPr>
        <w:t>AgentCore Observability — managed telemetry pipeline into CloudWatch and X-Ray; addresses OBS-01 through OBS-03.</w:t>
      </w:r>
    </w:p>
    <w:p>
      <w:pPr>
        <w:spacing w:before="200" w:after="80"/>
        <w:outlineLvl w:val="2"/>
      </w:pPr>
      <w:r>
        <w:rPr>
          <w:rFonts w:ascii="Calibri" w:hAnsi="Calibri"/>
          <w:b/>
          <w:i w:val="0"/>
          <w:color w:val="2E6DA4"/>
          <w:sz w:val="26"/>
        </w:rPr>
        <w:t>9.2  Migration Considerations</w:t>
      </w:r>
    </w:p>
    <w:p>
      <w:pPr>
        <w:spacing w:after="120"/>
        <w:jc w:val="both"/>
      </w:pPr>
      <w:r>
        <w:rPr>
          <w:rFonts w:ascii="Calibri" w:hAnsi="Calibri"/>
          <w:b w:val="0"/>
          <w:i w:val="0"/>
          <w:color w:val="000000"/>
          <w:sz w:val="21"/>
        </w:rPr>
        <w:t>AgentCore is most valuable where the existing service has a thin framework boundary. The Agent Backend is a strong candidate because the Strands ReAct loop is the substantive logic; the FastAPI surface is thin. The MCP server is a moderate candidate; the twelve tools port cleanly to AgentCore Gateway, but the gateway's tool definitions diverge slightly from FastMCP's conventions and require a translation step. The Core API is intentionally not migrated — it remains the canonical graph data interface.</w:t>
      </w:r>
    </w:p>
    <w:p>
      <w:pPr>
        <w:spacing w:before="280" w:after="160"/>
        <w:outlineLvl w:val="1"/>
      </w:pPr>
      <w:r>
        <w:rPr>
          <w:rFonts w:ascii="Calibri" w:hAnsi="Calibri"/>
          <w:b/>
          <w:i w:val="0"/>
          <w:color w:val="1B3A6B"/>
          <w:sz w:val="34"/>
        </w:rPr>
        <w:t>Authoritative Knowledge &amp; Data Sources</w:t>
      </w:r>
    </w:p>
    <w:p>
      <w:pPr>
        <w:spacing w:before="200" w:after="80"/>
        <w:outlineLvl w:val="2"/>
      </w:pPr>
      <w:r>
        <w:rPr>
          <w:rFonts w:ascii="Calibri" w:hAnsi="Calibri"/>
          <w:b/>
          <w:i w:val="0"/>
          <w:color w:val="2E6DA4"/>
          <w:sz w:val="26"/>
        </w:rPr>
        <w:t>10.1  CSL Authoritative Knowledge Tier</w:t>
      </w:r>
    </w:p>
    <w:p>
      <w:pPr>
        <w:pStyle w:val="ListBullet"/>
        <w:spacing w:after="40"/>
      </w:pPr>
      <w:r>
        <w:rPr>
          <w:rFonts w:ascii="Calibri" w:hAnsi="Calibri"/>
          <w:b w:val="0"/>
          <w:i w:val="0"/>
          <w:sz w:val="21"/>
        </w:rPr>
        <w:t>Eugene Knowledge Graph — Neo4j as the structured biomedical authority.</w:t>
      </w:r>
    </w:p>
    <w:p>
      <w:pPr>
        <w:pStyle w:val="ListBullet"/>
        <w:spacing w:after="40"/>
      </w:pPr>
      <w:r>
        <w:rPr>
          <w:rFonts w:ascii="Calibri" w:hAnsi="Calibri"/>
          <w:b w:val="0"/>
          <w:i w:val="0"/>
          <w:sz w:val="21"/>
        </w:rPr>
        <w:t>Milvus Vector Index — semantic similarity for entity and snippet retrieval.</w:t>
      </w:r>
    </w:p>
    <w:p>
      <w:pPr>
        <w:pStyle w:val="ListBullet"/>
        <w:spacing w:after="40"/>
      </w:pPr>
      <w:r>
        <w:rPr>
          <w:rFonts w:ascii="Calibri" w:hAnsi="Calibri"/>
          <w:b w:val="0"/>
          <w:i w:val="0"/>
          <w:sz w:val="21"/>
        </w:rPr>
        <w:t>Bedrock Knowledge Base — managed retrieval over unstructured CSL content (S3 vectors).</w:t>
      </w:r>
    </w:p>
    <w:p>
      <w:pPr>
        <w:pStyle w:val="ListBullet"/>
        <w:spacing w:after="40"/>
      </w:pPr>
      <w:r>
        <w:rPr>
          <w:rFonts w:ascii="Calibri" w:hAnsi="Calibri"/>
          <w:b w:val="0"/>
          <w:i w:val="0"/>
          <w:sz w:val="21"/>
        </w:rPr>
        <w:t>SharePoint / Confluence — internal tacit knowledge: deal memos, prior diligence notes, IC decisions.</w:t>
      </w:r>
    </w:p>
    <w:p>
      <w:pPr>
        <w:pStyle w:val="ListBullet"/>
        <w:spacing w:after="40"/>
      </w:pPr>
      <w:r>
        <w:rPr>
          <w:rFonts w:ascii="Calibri" w:hAnsi="Calibri"/>
          <w:b w:val="0"/>
          <w:i w:val="0"/>
          <w:sz w:val="21"/>
        </w:rPr>
        <w:t>CSL eRooms / VDR — controlled-access deal-room artefacts; highly sensitive data with separate governance.</w:t>
      </w:r>
    </w:p>
    <w:p>
      <w:pPr>
        <w:spacing w:before="200" w:after="80"/>
        <w:outlineLvl w:val="2"/>
      </w:pPr>
      <w:r>
        <w:rPr>
          <w:rFonts w:ascii="Calibri" w:hAnsi="Calibri"/>
          <w:b/>
          <w:i w:val="0"/>
          <w:color w:val="2E6DA4"/>
          <w:sz w:val="26"/>
        </w:rPr>
        <w:t>10.2  External Data Sources</w:t>
      </w:r>
    </w:p>
    <w:p>
      <w:pPr>
        <w:pStyle w:val="ListBullet"/>
        <w:spacing w:after="40"/>
      </w:pPr>
      <w:r>
        <w:rPr>
          <w:rFonts w:ascii="Calibri" w:hAnsi="Calibri"/>
          <w:b w:val="0"/>
          <w:i w:val="0"/>
          <w:sz w:val="21"/>
        </w:rPr>
        <w:t>PubMed — literature, abstracts, citations.</w:t>
      </w:r>
    </w:p>
    <w:p>
      <w:pPr>
        <w:pStyle w:val="ListBullet"/>
        <w:spacing w:after="40"/>
      </w:pPr>
      <w:r>
        <w:rPr>
          <w:rFonts w:ascii="Calibri" w:hAnsi="Calibri"/>
          <w:b w:val="0"/>
          <w:i w:val="0"/>
          <w:sz w:val="21"/>
        </w:rPr>
        <w:t>USPTO — patents, filings, assignees.</w:t>
      </w:r>
    </w:p>
    <w:p>
      <w:pPr>
        <w:pStyle w:val="ListBullet"/>
        <w:spacing w:after="40"/>
      </w:pPr>
      <w:r>
        <w:rPr>
          <w:rFonts w:ascii="Calibri" w:hAnsi="Calibri"/>
          <w:b w:val="0"/>
          <w:i w:val="0"/>
          <w:sz w:val="21"/>
        </w:rPr>
        <w:t>ClinicalTrials.gov — trial records, phases, sponsors.</w:t>
      </w:r>
    </w:p>
    <w:p>
      <w:pPr>
        <w:pStyle w:val="ListBullet"/>
        <w:spacing w:after="40"/>
      </w:pPr>
      <w:r>
        <w:rPr>
          <w:rFonts w:ascii="Calibri" w:hAnsi="Calibri"/>
          <w:b w:val="0"/>
          <w:i w:val="0"/>
          <w:sz w:val="21"/>
        </w:rPr>
        <w:t>SEC EDGAR — financial filings, M&amp;A, regulatory disclosures.</w:t>
      </w:r>
    </w:p>
    <w:p>
      <w:pPr>
        <w:pStyle w:val="ListBullet"/>
        <w:spacing w:after="40"/>
      </w:pPr>
      <w:r>
        <w:rPr>
          <w:rFonts w:ascii="Calibri" w:hAnsi="Calibri"/>
          <w:b w:val="0"/>
          <w:i w:val="0"/>
          <w:sz w:val="21"/>
        </w:rPr>
        <w:t>ChEMBL — bioactivity, target, and assay data.</w:t>
      </w:r>
    </w:p>
    <w:p>
      <w:pPr>
        <w:spacing w:before="200" w:after="80"/>
        <w:outlineLvl w:val="2"/>
      </w:pPr>
      <w:r>
        <w:rPr>
          <w:rFonts w:ascii="Calibri" w:hAnsi="Calibri"/>
          <w:b/>
          <w:i w:val="0"/>
          <w:color w:val="2E6DA4"/>
          <w:sz w:val="26"/>
        </w:rPr>
        <w:t>10.3  Partner Platforms</w:t>
      </w:r>
    </w:p>
    <w:p>
      <w:pPr>
        <w:spacing w:after="120"/>
        <w:jc w:val="both"/>
      </w:pPr>
      <w:r>
        <w:rPr>
          <w:rFonts w:ascii="Calibri" w:hAnsi="Calibri"/>
          <w:b w:val="0"/>
          <w:i w:val="0"/>
          <w:color w:val="000000"/>
          <w:sz w:val="21"/>
        </w:rPr>
        <w:t>The Prudentia Sciences platform contributes four modules — Pattern, Prospect, Prism, Pinnacle — accessed through agreed connectors. The next-generation Eugene architecture treats these as a federated knowledge source: queryable via specialist tools but governed by partnership contracts rather than direct CSL data plane controls.</w:t>
      </w:r>
    </w:p>
    <w:p>
      <w:pPr>
        <w:spacing w:before="280" w:after="160"/>
        <w:outlineLvl w:val="1"/>
      </w:pPr>
      <w:r>
        <w:rPr>
          <w:rFonts w:ascii="Calibri" w:hAnsi="Calibri"/>
          <w:b/>
          <w:i w:val="0"/>
          <w:color w:val="1B3A6B"/>
          <w:sz w:val="34"/>
        </w:rPr>
        <w:t>Security, Identity, and Governance</w:t>
      </w:r>
    </w:p>
    <w:p>
      <w:pPr>
        <w:spacing w:before="200" w:after="80"/>
        <w:outlineLvl w:val="2"/>
      </w:pPr>
      <w:r>
        <w:rPr>
          <w:rFonts w:ascii="Calibri" w:hAnsi="Calibri"/>
          <w:b/>
          <w:i w:val="0"/>
          <w:color w:val="2E6DA4"/>
          <w:sz w:val="26"/>
        </w:rPr>
        <w:t>11.1  Identity and Access</w:t>
      </w:r>
    </w:p>
    <w:p>
      <w:pPr>
        <w:spacing w:after="120"/>
        <w:jc w:val="both"/>
      </w:pPr>
      <w:r>
        <w:rPr>
          <w:rFonts w:ascii="Calibri" w:hAnsi="Calibri"/>
          <w:b w:val="0"/>
          <w:i w:val="0"/>
          <w:color w:val="000000"/>
          <w:sz w:val="21"/>
        </w:rPr>
        <w:t>Entra ID SSO remains the user-facing front door, augmented by RBAC policies enforced at the AgentCore Gateway. The roles claim that today exists in the JWT but is not enforced becomes an enforced policy hook in the gateway. Multi-factor authentication is required for all non-read-only roles.</w:t>
      </w:r>
    </w:p>
    <w:p>
      <w:pPr>
        <w:spacing w:before="200" w:after="80"/>
        <w:outlineLvl w:val="2"/>
      </w:pPr>
      <w:r>
        <w:rPr>
          <w:rFonts w:ascii="Calibri" w:hAnsi="Calibri"/>
          <w:b/>
          <w:i w:val="0"/>
          <w:color w:val="2E6DA4"/>
          <w:sz w:val="26"/>
        </w:rPr>
        <w:t>11.2  Governance Controls</w:t>
      </w:r>
    </w:p>
    <w:p>
      <w:pPr>
        <w:pStyle w:val="ListBullet"/>
        <w:spacing w:after="40"/>
      </w:pPr>
      <w:r>
        <w:rPr>
          <w:rFonts w:ascii="Calibri" w:hAnsi="Calibri"/>
          <w:b w:val="0"/>
          <w:i w:val="0"/>
          <w:sz w:val="21"/>
        </w:rPr>
        <w:t>Bedrock Guardrails — content filtering, PII detection, denied-topic policies applied to every LLM call.</w:t>
      </w:r>
    </w:p>
    <w:p>
      <w:pPr>
        <w:pStyle w:val="ListBullet"/>
        <w:spacing w:after="40"/>
      </w:pPr>
      <w:r>
        <w:rPr>
          <w:rFonts w:ascii="Calibri" w:hAnsi="Calibri"/>
          <w:b w:val="0"/>
          <w:i w:val="0"/>
          <w:sz w:val="21"/>
        </w:rPr>
        <w:t>AWS PrivateLink / VPC — all inter-service traffic stays inside the AWS partition; no public-internet egress for LLM calls.</w:t>
      </w:r>
    </w:p>
    <w:p>
      <w:pPr>
        <w:pStyle w:val="ListBullet"/>
        <w:spacing w:after="40"/>
      </w:pPr>
      <w:r>
        <w:rPr>
          <w:rFonts w:ascii="Calibri" w:hAnsi="Calibri"/>
          <w:b w:val="0"/>
          <w:i w:val="0"/>
          <w:sz w:val="21"/>
        </w:rPr>
        <w:t>KMS — keys for at-rest encryption, JWT signing, secret rotation.</w:t>
      </w:r>
    </w:p>
    <w:p>
      <w:pPr>
        <w:pStyle w:val="ListBullet"/>
        <w:spacing w:after="40"/>
      </w:pPr>
      <w:r>
        <w:rPr>
          <w:rFonts w:ascii="Calibri" w:hAnsi="Calibri"/>
          <w:b w:val="0"/>
          <w:i w:val="0"/>
          <w:sz w:val="21"/>
        </w:rPr>
        <w:t>CloudWatch + X-Ray — unified telemetry across the orchestration layer and AgentCore primitives.</w:t>
      </w:r>
    </w:p>
    <w:p>
      <w:pPr>
        <w:pStyle w:val="ListBullet"/>
        <w:spacing w:after="40"/>
      </w:pPr>
      <w:r>
        <w:rPr>
          <w:rFonts w:ascii="Calibri" w:hAnsi="Calibri"/>
          <w:b w:val="0"/>
          <w:i w:val="0"/>
          <w:sz w:val="21"/>
        </w:rPr>
        <w:t>21 CFR Part 11-grade audit logging — every agent decision, tool invocation, and data access is recorded immutably; supports regulatory inspection.</w:t>
      </w:r>
    </w:p>
    <w:p>
      <w:pPr>
        <w:spacing w:before="200" w:after="80"/>
        <w:outlineLvl w:val="2"/>
      </w:pPr>
      <w:r>
        <w:rPr>
          <w:rFonts w:ascii="Calibri" w:hAnsi="Calibri"/>
          <w:b/>
          <w:i w:val="0"/>
          <w:color w:val="2E6DA4"/>
          <w:sz w:val="26"/>
        </w:rPr>
        <w:t>11.3  Customer-Level Data Isolation</w:t>
      </w:r>
    </w:p>
    <w:p>
      <w:pPr>
        <w:spacing w:after="120"/>
        <w:jc w:val="both"/>
      </w:pPr>
      <w:r>
        <w:rPr>
          <w:rFonts w:ascii="Calibri" w:hAnsi="Calibri"/>
          <w:b w:val="0"/>
          <w:i w:val="0"/>
          <w:color w:val="000000"/>
          <w:sz w:val="21"/>
        </w:rPr>
        <w:t>The next-generation architecture explicitly commits to two principles. First, customer-level data isolation — CSL data does not commingle with any other tenant's data, even within the LLM provider's infrastructure. Second, contractual no-training — the LLM provider must not use CSL data for model training. Both commitments are unlocked by AWS Bedrock's data-governance posture.</w:t>
      </w:r>
    </w:p>
    <w:p>
      <w:r>
        <w:br w:type="page"/>
      </w:r>
    </w:p>
    <w:p>
      <w:pPr>
        <w:spacing w:before="360" w:after="240"/>
        <w:outlineLvl w:val="0"/>
      </w:pPr>
      <w:r>
        <w:rPr>
          <w:rFonts w:ascii="Calibri" w:hAnsi="Calibri"/>
          <w:b/>
          <w:i w:val="0"/>
          <w:color w:val="A6192E"/>
          <w:sz w:val="48"/>
        </w:rPr>
        <w:t>Part III — UI / UX Enhancement Programme</w:t>
      </w:r>
    </w:p>
    <w:p>
      <w:r>
        <w:br w:type="page"/>
      </w:r>
    </w:p>
    <w:p>
      <w:pPr>
        <w:spacing w:before="280" w:after="160"/>
        <w:outlineLvl w:val="1"/>
      </w:pPr>
      <w:r>
        <w:rPr>
          <w:rFonts w:ascii="Calibri" w:hAnsi="Calibri"/>
          <w:b/>
          <w:i w:val="0"/>
          <w:color w:val="1B3A6B"/>
          <w:sz w:val="34"/>
        </w:rPr>
        <w:t>Current UI Assessment</w:t>
      </w:r>
    </w:p>
    <w:p>
      <w:pPr>
        <w:spacing w:before="200" w:after="80"/>
        <w:outlineLvl w:val="2"/>
      </w:pPr>
      <w:r>
        <w:rPr>
          <w:rFonts w:ascii="Calibri" w:hAnsi="Calibri"/>
          <w:b/>
          <w:i w:val="0"/>
          <w:color w:val="2E6DA4"/>
          <w:sz w:val="26"/>
        </w:rPr>
        <w:t>12.1  Streamlit (eugene-agent-ui)</w:t>
      </w:r>
    </w:p>
    <w:p>
      <w:pPr>
        <w:spacing w:after="120"/>
        <w:jc w:val="both"/>
      </w:pPr>
      <w:r>
        <w:rPr>
          <w:rFonts w:ascii="Calibri" w:hAnsi="Calibri"/>
          <w:b w:val="0"/>
          <w:i w:val="0"/>
          <w:color w:val="000000"/>
          <w:sz w:val="21"/>
        </w:rPr>
        <w:t>The Streamlit UI delivers a working chat surface but does not expose the platform's structural strengths. The graph is invisible. Citations are embedded in chat text rather than surfaced as inspectable evidence. Conversation history cannot be exported. The agent's reasoning trail is opaque. Mobile experience is poor; accessibility primitives are minimal. These gaps are framework artefacts, not data-layer constraints.</w:t>
      </w:r>
    </w:p>
    <w:p>
      <w:pPr>
        <w:spacing w:before="200" w:after="80"/>
        <w:outlineLvl w:val="2"/>
      </w:pPr>
      <w:r>
        <w:rPr>
          <w:rFonts w:ascii="Calibri" w:hAnsi="Calibri"/>
          <w:b/>
          <w:i w:val="0"/>
          <w:color w:val="2E6DA4"/>
          <w:sz w:val="26"/>
        </w:rPr>
        <w:t>12.2  Next.js v2 (eugene-agent-ui-next)</w:t>
      </w:r>
    </w:p>
    <w:p>
      <w:pPr>
        <w:spacing w:after="120"/>
        <w:jc w:val="both"/>
      </w:pPr>
      <w:r>
        <w:rPr>
          <w:rFonts w:ascii="Calibri" w:hAnsi="Calibri"/>
          <w:b w:val="0"/>
          <w:i w:val="0"/>
          <w:color w:val="000000"/>
          <w:sz w:val="21"/>
        </w:rPr>
        <w:t>The Next.js v2 implementation introduces the right primitives. A three-pane AppShell separates Sidebar, Chat, and Knowledge Graph. A Cytoscape-driven graph canvas provides node selection, expansion, pinning, path-finding, source / sink marking, edge-type filtering, and PNG export. A floating glass-card overlay system supports a Toolbar, Legend, Stats, Node Details panel, and Evidence panel. The streaming client uses an event-driven parseStream() function that updates UI state per token. The implementation is closer to a strategic frontend than the Streamlit prototype, but the feature surface is incomplete.</w:t>
      </w:r>
    </w:p>
    <w:p>
      <w:pPr>
        <w:spacing w:before="200" w:after="80"/>
        <w:outlineLvl w:val="2"/>
      </w:pPr>
      <w:r>
        <w:rPr>
          <w:rFonts w:ascii="Calibri" w:hAnsi="Calibri"/>
          <w:b/>
          <w:i w:val="0"/>
          <w:color w:val="2E6DA4"/>
          <w:sz w:val="26"/>
        </w:rPr>
        <w:t>12.3  Gap Inventory</w:t>
      </w:r>
    </w:p>
    <w:p>
      <w:pPr>
        <w:pStyle w:val="ListBullet"/>
        <w:spacing w:after="40"/>
      </w:pPr>
      <w:r>
        <w:rPr>
          <w:rFonts w:ascii="Calibri" w:hAnsi="Calibri"/>
          <w:b w:val="0"/>
          <w:i w:val="0"/>
          <w:sz w:val="21"/>
        </w:rPr>
        <w:t>No conversation export (JSON, Markdown, PDF).</w:t>
      </w:r>
    </w:p>
    <w:p>
      <w:pPr>
        <w:pStyle w:val="ListBullet"/>
        <w:spacing w:after="40"/>
      </w:pPr>
      <w:r>
        <w:rPr>
          <w:rFonts w:ascii="Calibri" w:hAnsi="Calibri"/>
          <w:b w:val="0"/>
          <w:i w:val="0"/>
          <w:sz w:val="21"/>
        </w:rPr>
        <w:t>No citation panel or evidence drilldown.</w:t>
      </w:r>
    </w:p>
    <w:p>
      <w:pPr>
        <w:pStyle w:val="ListBullet"/>
        <w:spacing w:after="40"/>
      </w:pPr>
      <w:r>
        <w:rPr>
          <w:rFonts w:ascii="Calibri" w:hAnsi="Calibri"/>
          <w:b w:val="0"/>
          <w:i w:val="0"/>
          <w:sz w:val="21"/>
        </w:rPr>
        <w:t>No graph mini-map; users get lost when zoomed in.</w:t>
      </w:r>
    </w:p>
    <w:p>
      <w:pPr>
        <w:pStyle w:val="ListBullet"/>
        <w:spacing w:after="40"/>
      </w:pPr>
      <w:r>
        <w:rPr>
          <w:rFonts w:ascii="Calibri" w:hAnsi="Calibri"/>
          <w:b w:val="0"/>
          <w:i w:val="0"/>
          <w:sz w:val="21"/>
        </w:rPr>
        <w:t>No tool-call timeline or agent-decision lineage.</w:t>
      </w:r>
    </w:p>
    <w:p>
      <w:pPr>
        <w:pStyle w:val="ListBullet"/>
        <w:spacing w:after="40"/>
      </w:pPr>
      <w:r>
        <w:rPr>
          <w:rFonts w:ascii="Calibri" w:hAnsi="Calibri"/>
          <w:b w:val="0"/>
          <w:i w:val="0"/>
          <w:sz w:val="21"/>
        </w:rPr>
        <w:t>No role-based hints on tools (read-only / admin / PII-risky).</w:t>
      </w:r>
    </w:p>
    <w:p>
      <w:pPr>
        <w:pStyle w:val="ListBullet"/>
        <w:spacing w:after="40"/>
      </w:pPr>
      <w:r>
        <w:rPr>
          <w:rFonts w:ascii="Calibri" w:hAnsi="Calibri"/>
          <w:b w:val="0"/>
          <w:i w:val="0"/>
          <w:sz w:val="21"/>
        </w:rPr>
        <w:t>No system-prompt templates or domain modes.</w:t>
      </w:r>
    </w:p>
    <w:p>
      <w:pPr>
        <w:pStyle w:val="ListBullet"/>
        <w:spacing w:after="40"/>
      </w:pPr>
      <w:r>
        <w:rPr>
          <w:rFonts w:ascii="Calibri" w:hAnsi="Calibri"/>
          <w:b w:val="0"/>
          <w:i w:val="0"/>
          <w:sz w:val="21"/>
        </w:rPr>
        <w:t>No share / export of conversations.</w:t>
      </w:r>
    </w:p>
    <w:p>
      <w:pPr>
        <w:pStyle w:val="ListBullet"/>
        <w:spacing w:after="40"/>
      </w:pPr>
      <w:r>
        <w:rPr>
          <w:rFonts w:ascii="Calibri" w:hAnsi="Calibri"/>
          <w:b w:val="0"/>
          <w:i w:val="0"/>
          <w:sz w:val="21"/>
        </w:rPr>
        <w:t>Limited accessibility primitives.</w:t>
      </w:r>
    </w:p>
    <w:p>
      <w:pPr>
        <w:pStyle w:val="ListBullet"/>
        <w:spacing w:after="40"/>
      </w:pPr>
      <w:r>
        <w:rPr>
          <w:rFonts w:ascii="Calibri" w:hAnsi="Calibri"/>
          <w:b w:val="0"/>
          <w:i w:val="0"/>
          <w:sz w:val="21"/>
        </w:rPr>
        <w:t>No keyboard shortcuts.</w:t>
      </w:r>
    </w:p>
    <w:p>
      <w:pPr>
        <w:pStyle w:val="ListBullet"/>
        <w:spacing w:after="40"/>
      </w:pPr>
      <w:r>
        <w:rPr>
          <w:rFonts w:ascii="Calibri" w:hAnsi="Calibri"/>
          <w:b w:val="0"/>
          <w:i w:val="0"/>
          <w:sz w:val="21"/>
        </w:rPr>
        <w:t>No light / dark theming consistent across canvas.</w:t>
      </w:r>
    </w:p>
    <w:p>
      <w:pPr>
        <w:pStyle w:val="ListBullet"/>
        <w:spacing w:after="40"/>
      </w:pPr>
      <w:r>
        <w:rPr>
          <w:rFonts w:ascii="Calibri" w:hAnsi="Calibri"/>
          <w:b w:val="0"/>
          <w:i w:val="0"/>
          <w:sz w:val="21"/>
        </w:rPr>
        <w:t>Poor mobile responsiveness.</w:t>
      </w:r>
    </w:p>
    <w:p>
      <w:pPr>
        <w:pStyle w:val="ListBullet"/>
        <w:spacing w:after="40"/>
      </w:pPr>
      <w:r>
        <w:rPr>
          <w:rFonts w:ascii="Calibri" w:hAnsi="Calibri"/>
          <w:b w:val="0"/>
          <w:i w:val="0"/>
          <w:sz w:val="21"/>
        </w:rPr>
        <w:t>No search history or autocomplete.</w:t>
      </w:r>
    </w:p>
    <w:p>
      <w:pPr>
        <w:pStyle w:val="ListBullet"/>
        <w:spacing w:after="40"/>
      </w:pPr>
      <w:r>
        <w:rPr>
          <w:rFonts w:ascii="Calibri" w:hAnsi="Calibri"/>
          <w:b w:val="0"/>
          <w:i w:val="0"/>
          <w:sz w:val="21"/>
        </w:rPr>
        <w:t>No node-property hover tooltips.</w:t>
      </w:r>
    </w:p>
    <w:p>
      <w:pPr>
        <w:spacing w:before="280" w:after="160"/>
        <w:outlineLvl w:val="1"/>
      </w:pPr>
      <w:r>
        <w:rPr>
          <w:rFonts w:ascii="Calibri" w:hAnsi="Calibri"/>
          <w:b/>
          <w:i w:val="0"/>
          <w:color w:val="1B3A6B"/>
          <w:sz w:val="34"/>
        </w:rPr>
        <w:t>Fifteen Concrete Enhancements</w:t>
      </w:r>
    </w:p>
    <w:p>
      <w:pPr>
        <w:spacing w:after="120"/>
        <w:jc w:val="both"/>
      </w:pPr>
      <w:r>
        <w:rPr>
          <w:rFonts w:ascii="Calibri" w:hAnsi="Calibri"/>
          <w:b w:val="0"/>
          <w:i w:val="0"/>
          <w:color w:val="000000"/>
          <w:sz w:val="21"/>
        </w:rPr>
        <w:t>The fifteen enhancements below are sized for delivery inside Phase 2 and Phase 3. Each is described with intent, observable behaviour, and an implementation note that grounds it in the existing codebase.</w:t>
      </w:r>
    </w:p>
    <w:p>
      <w:pPr>
        <w:spacing w:before="160" w:after="60"/>
        <w:outlineLvl w:val="3"/>
      </w:pPr>
      <w:r>
        <w:rPr>
          <w:rFonts w:ascii="Calibri" w:hAnsi="Calibri"/>
          <w:b/>
          <w:i w:val="0"/>
          <w:color w:val="00897B"/>
          <w:sz w:val="22"/>
        </w:rPr>
        <w:t>13.1  Conversation Snapshot Export</w:t>
      </w:r>
    </w:p>
    <w:p>
      <w:pPr>
        <w:spacing w:after="120"/>
        <w:jc w:val="both"/>
      </w:pPr>
      <w:r>
        <w:rPr>
          <w:rFonts w:ascii="Calibri" w:hAnsi="Calibri"/>
          <w:b w:val="0"/>
          <w:i w:val="0"/>
          <w:color w:val="000000"/>
          <w:sz w:val="21"/>
        </w:rPr>
        <w:t>Add an Export menu in the Sidebar footer with three options: JSON (raw), Markdown (clean narrative with citations), and PDF (includes graph snapshot and tool-call timeline). Implementation: html2pdf + markdown-it; a new exportConversation(format) hook on the Chat store.</w:t>
      </w:r>
    </w:p>
    <w:p>
      <w:pPr>
        <w:spacing w:before="160" w:after="60"/>
        <w:outlineLvl w:val="3"/>
      </w:pPr>
      <w:r>
        <w:rPr>
          <w:rFonts w:ascii="Calibri" w:hAnsi="Calibri"/>
          <w:b/>
          <w:i w:val="0"/>
          <w:color w:val="00897B"/>
          <w:sz w:val="22"/>
        </w:rPr>
        <w:t>13.2  Citation and Evidence Drilldown Panel</w:t>
      </w:r>
    </w:p>
    <w:p>
      <w:pPr>
        <w:spacing w:after="120"/>
        <w:jc w:val="both"/>
      </w:pPr>
      <w:r>
        <w:rPr>
          <w:rFonts w:ascii="Calibri" w:hAnsi="Calibri"/>
          <w:b w:val="0"/>
          <w:i w:val="0"/>
          <w:color w:val="000000"/>
          <w:sz w:val="21"/>
        </w:rPr>
        <w:t>Every assistant turn surfaces inline citations of the form [Source: Eugene Node ID:drug_001 | Confidence: 0.92 | Data Age: 3d]. Click a citation to open the EvidencePanel, populated by a new /agent/conversation/{id}/lineage endpoint that returns the full path: user prompt → intent → tool calls → Cypher executed → result → synthesised answer.</w:t>
      </w:r>
    </w:p>
    <w:p>
      <w:pPr>
        <w:spacing w:before="160" w:after="60"/>
        <w:outlineLvl w:val="3"/>
      </w:pPr>
      <w:r>
        <w:rPr>
          <w:rFonts w:ascii="Calibri" w:hAnsi="Calibri"/>
          <w:b/>
          <w:i w:val="0"/>
          <w:color w:val="00897B"/>
          <w:sz w:val="22"/>
        </w:rPr>
        <w:t>13.3  Graph Mini-Map</w:t>
      </w:r>
    </w:p>
    <w:p>
      <w:pPr>
        <w:spacing w:after="120"/>
        <w:jc w:val="both"/>
      </w:pPr>
      <w:r>
        <w:rPr>
          <w:rFonts w:ascii="Calibri" w:hAnsi="Calibri"/>
          <w:b w:val="0"/>
          <w:i w:val="0"/>
          <w:color w:val="000000"/>
          <w:sz w:val="21"/>
        </w:rPr>
        <w:t>A floating viewport indicator in the bottom-right of the graph pane shows the full graph in miniature with the current viewport highlighted. Click the mini-map to jump to a region. Implementation: Cytoscape's minimap plugin or a custom canvas overlay.</w:t>
      </w:r>
    </w:p>
    <w:p>
      <w:pPr>
        <w:spacing w:before="160" w:after="60"/>
        <w:outlineLvl w:val="3"/>
      </w:pPr>
      <w:r>
        <w:rPr>
          <w:rFonts w:ascii="Calibri" w:hAnsi="Calibri"/>
          <w:b/>
          <w:i w:val="0"/>
          <w:color w:val="00897B"/>
          <w:sz w:val="22"/>
        </w:rPr>
        <w:t>13.4  Tool-Call Timeline</w:t>
      </w:r>
    </w:p>
    <w:p>
      <w:pPr>
        <w:spacing w:after="120"/>
        <w:jc w:val="both"/>
      </w:pPr>
      <w:r>
        <w:rPr>
          <w:rFonts w:ascii="Calibri" w:hAnsi="Calibri"/>
          <w:b w:val="0"/>
          <w:i w:val="0"/>
          <w:color w:val="000000"/>
          <w:sz w:val="21"/>
        </w:rPr>
        <w:t>Render each turn's tool invocations as a Gantt-style bar chart below the assistant message. Bars are coloured by tool family (eugeneGraph, pubmed, sec, trials), labelled by tool name, and clickable to show input parameters, output size, latency, and a 'highlight nodes from this call' action that lights up the relevant subgraph in the canvas.</w:t>
      </w:r>
    </w:p>
    <w:p>
      <w:pPr>
        <w:spacing w:before="160" w:after="60"/>
        <w:outlineLvl w:val="3"/>
      </w:pPr>
      <w:r>
        <w:rPr>
          <w:rFonts w:ascii="Calibri" w:hAnsi="Calibri"/>
          <w:b/>
          <w:i w:val="0"/>
          <w:color w:val="00897B"/>
          <w:sz w:val="22"/>
        </w:rPr>
        <w:t>13.5  Role-Based Tool Hints</w:t>
      </w:r>
    </w:p>
    <w:p>
      <w:pPr>
        <w:spacing w:after="120"/>
        <w:jc w:val="both"/>
      </w:pPr>
      <w:r>
        <w:rPr>
          <w:rFonts w:ascii="Calibri" w:hAnsi="Calibri"/>
          <w:b w:val="0"/>
          <w:i w:val="0"/>
          <w:color w:val="000000"/>
          <w:sz w:val="21"/>
        </w:rPr>
        <w:t>Hovering a tool name in the timeline or toolbar shows a badge: 🔓 Read-only, 🔐 Admin-only, ⚠ PII-risky, ✅ Prod-safe. The badge is derived from the tool's MCP schema annotation; the implementation is an AccessControl enum exposed on each tool definition, surfaced through a Tooltip component.</w:t>
      </w:r>
    </w:p>
    <w:p>
      <w:pPr>
        <w:spacing w:before="160" w:after="60"/>
        <w:outlineLvl w:val="3"/>
      </w:pPr>
      <w:r>
        <w:rPr>
          <w:rFonts w:ascii="Calibri" w:hAnsi="Calibri"/>
          <w:b/>
          <w:i w:val="0"/>
          <w:color w:val="00897B"/>
          <w:sz w:val="22"/>
        </w:rPr>
        <w:t>13.6  System Prompt Templates</w:t>
      </w:r>
    </w:p>
    <w:p>
      <w:pPr>
        <w:spacing w:after="120"/>
        <w:jc w:val="both"/>
      </w:pPr>
      <w:r>
        <w:rPr>
          <w:rFonts w:ascii="Calibri" w:hAnsi="Calibri"/>
          <w:b w:val="0"/>
          <w:i w:val="0"/>
          <w:color w:val="000000"/>
          <w:sz w:val="21"/>
        </w:rPr>
        <w:t>A Sidebar dropdown labelled "Agent Personality" offers four templates: Default Biomedical, Patent Analyst, Clinical Trialist, Competitive Intelligence. Each template selects a curated tool subset and prepends a domain-specific opening to the system prompt. Templates live in app/templates/ and are loaded via a /agent/templates API.</w:t>
      </w:r>
    </w:p>
    <w:p>
      <w:pPr>
        <w:spacing w:before="160" w:after="60"/>
        <w:outlineLvl w:val="3"/>
      </w:pPr>
      <w:r>
        <w:rPr>
          <w:rFonts w:ascii="Calibri" w:hAnsi="Calibri"/>
          <w:b/>
          <w:i w:val="0"/>
          <w:color w:val="00897B"/>
          <w:sz w:val="22"/>
        </w:rPr>
        <w:t>13.7  Evidence Drilldown with Graph Expansion</w:t>
      </w:r>
    </w:p>
    <w:p>
      <w:pPr>
        <w:spacing w:after="120"/>
        <w:jc w:val="both"/>
      </w:pPr>
      <w:r>
        <w:rPr>
          <w:rFonts w:ascii="Calibri" w:hAnsi="Calibri"/>
          <w:b w:val="0"/>
          <w:i w:val="0"/>
          <w:color w:val="000000"/>
          <w:sz w:val="21"/>
        </w:rPr>
        <w:t>Clicking a citation auto-expands the graph canvas to display the path from the user prompt to the cited fact. Path nodes are coloured red (start), green (end), and yellow (intermediate); edges are labelled with the relationship type. Implementation: extend the useGraphExplorer.expand() hook to accept a path argument.</w:t>
      </w:r>
    </w:p>
    <w:p>
      <w:pPr>
        <w:spacing w:before="160" w:after="60"/>
        <w:outlineLvl w:val="3"/>
      </w:pPr>
      <w:r>
        <w:rPr>
          <w:rFonts w:ascii="Calibri" w:hAnsi="Calibri"/>
          <w:b/>
          <w:i w:val="0"/>
          <w:color w:val="00897B"/>
          <w:sz w:val="22"/>
        </w:rPr>
        <w:t>13.8  Share and Collaborative Export</w:t>
      </w:r>
    </w:p>
    <w:p>
      <w:pPr>
        <w:spacing w:after="120"/>
        <w:jc w:val="both"/>
      </w:pPr>
      <w:r>
        <w:rPr>
          <w:rFonts w:ascii="Calibri" w:hAnsi="Calibri"/>
          <w:b w:val="0"/>
          <w:i w:val="0"/>
          <w:color w:val="000000"/>
          <w:sz w:val="21"/>
        </w:rPr>
        <w:t>A Share button generates a unique short link (DynamoDB-backed, seven-day TTL) that returns a read-only view of the conversation, the frozen message history, and the graph snapshot. The shared view is uneditable but supports node inspection and export. Implementation: POST /api/shares/{conversation_id}; UUID returned as v2 short link.</w:t>
      </w:r>
    </w:p>
    <w:p>
      <w:pPr>
        <w:spacing w:before="160" w:after="60"/>
        <w:outlineLvl w:val="3"/>
      </w:pPr>
      <w:r>
        <w:rPr>
          <w:rFonts w:ascii="Calibri" w:hAnsi="Calibri"/>
          <w:b/>
          <w:i w:val="0"/>
          <w:color w:val="00897B"/>
          <w:sz w:val="22"/>
        </w:rPr>
        <w:t>13.9  Accessibility Overhaul</w:t>
      </w:r>
    </w:p>
    <w:p>
      <w:pPr>
        <w:spacing w:after="120"/>
        <w:jc w:val="both"/>
      </w:pPr>
      <w:r>
        <w:rPr>
          <w:rFonts w:ascii="Calibri" w:hAnsi="Calibri"/>
          <w:b w:val="0"/>
          <w:i w:val="0"/>
          <w:color w:val="000000"/>
          <w:sz w:val="21"/>
        </w:rPr>
        <w:t>ARIA labels on every interactive element — graph nodes, toolbar controls, panel toggles. Live region announcements for tool-call events ("agent is calling fetch_node_relationships"). High-contrast theme. Logical tab order through Sidebar → Chat → Graph. Implementation: Chakra UI plus headless-ui ARIA primitives with aria-live="polite" announcements.</w:t>
      </w:r>
    </w:p>
    <w:p>
      <w:pPr>
        <w:spacing w:before="160" w:after="60"/>
        <w:outlineLvl w:val="3"/>
      </w:pPr>
      <w:r>
        <w:rPr>
          <w:rFonts w:ascii="Calibri" w:hAnsi="Calibri"/>
          <w:b/>
          <w:i w:val="0"/>
          <w:color w:val="00897B"/>
          <w:sz w:val="22"/>
        </w:rPr>
        <w:t>13.10  Keyboard Shortcuts</w:t>
      </w:r>
    </w:p>
    <w:p>
      <w:pPr>
        <w:spacing w:after="120"/>
        <w:jc w:val="both"/>
      </w:pPr>
      <w:r>
        <w:rPr>
          <w:rFonts w:ascii="Calibri" w:hAnsi="Calibri"/>
          <w:b w:val="0"/>
          <w:i w:val="0"/>
          <w:color w:val="000000"/>
          <w:sz w:val="21"/>
        </w:rPr>
        <w:t>Cmd+K to focus search; Cmd+N for new conversation; Cmd+E to export; Cmd+? to show the help / shortcut cheat-sheet; Escape to close all panels; Ctrl+Shift+L to cycle graph layouts. Implementation: a useKeyboardShortcuts hook in the AppShell.</w:t>
      </w:r>
    </w:p>
    <w:p>
      <w:pPr>
        <w:spacing w:before="160" w:after="60"/>
        <w:outlineLvl w:val="3"/>
      </w:pPr>
      <w:r>
        <w:rPr>
          <w:rFonts w:ascii="Calibri" w:hAnsi="Calibri"/>
          <w:b/>
          <w:i w:val="0"/>
          <w:color w:val="00897B"/>
          <w:sz w:val="22"/>
        </w:rPr>
        <w:t>13.11  Light / Dark Theme Toggle</w:t>
      </w:r>
    </w:p>
    <w:p>
      <w:pPr>
        <w:spacing w:after="120"/>
        <w:jc w:val="both"/>
      </w:pPr>
      <w:r>
        <w:rPr>
          <w:rFonts w:ascii="Calibri" w:hAnsi="Calibri"/>
          <w:b w:val="0"/>
          <w:i w:val="0"/>
          <w:color w:val="000000"/>
          <w:sz w:val="21"/>
        </w:rPr>
        <w:t>Theme toggle button in the Sidebar header. Uses Chakra's useColorMode(); persists to localStorage; the graph canvas adapts its node and edge palette accordingly. Implementation: extend the existing ColorModeSync component.</w:t>
      </w:r>
    </w:p>
    <w:p>
      <w:pPr>
        <w:spacing w:before="160" w:after="60"/>
        <w:outlineLvl w:val="3"/>
      </w:pPr>
      <w:r>
        <w:rPr>
          <w:rFonts w:ascii="Calibri" w:hAnsi="Calibri"/>
          <w:b/>
          <w:i w:val="0"/>
          <w:color w:val="00897B"/>
          <w:sz w:val="22"/>
        </w:rPr>
        <w:t>13.12  Mobile-Responsive Layout</w:t>
      </w:r>
    </w:p>
    <w:p>
      <w:pPr>
        <w:spacing w:after="120"/>
        <w:jc w:val="both"/>
      </w:pPr>
      <w:r>
        <w:rPr>
          <w:rFonts w:ascii="Calibri" w:hAnsi="Calibri"/>
          <w:b w:val="0"/>
          <w:i w:val="0"/>
          <w:color w:val="000000"/>
          <w:sz w:val="21"/>
        </w:rPr>
        <w:t>Tablet (768 px): hide sidebar by default behind a hamburger; graph shrinks to 50 percent. Mobile (&lt; 640 px): stack chat above graph; graph hidden by default; tab bar to switch. Pinch-zoom and swipe gestures on the graph canvas. Implementation: Chakra responsive props are already used; extend to all panels.</w:t>
      </w:r>
    </w:p>
    <w:p>
      <w:pPr>
        <w:spacing w:before="160" w:after="60"/>
        <w:outlineLvl w:val="3"/>
      </w:pPr>
      <w:r>
        <w:rPr>
          <w:rFonts w:ascii="Calibri" w:hAnsi="Calibri"/>
          <w:b/>
          <w:i w:val="0"/>
          <w:color w:val="00897B"/>
          <w:sz w:val="22"/>
        </w:rPr>
        <w:t>13.13  Search History and Autocomplete</w:t>
      </w:r>
    </w:p>
    <w:p>
      <w:pPr>
        <w:spacing w:after="120"/>
        <w:jc w:val="both"/>
      </w:pPr>
      <w:r>
        <w:rPr>
          <w:rFonts w:ascii="Calibri" w:hAnsi="Calibri"/>
          <w:b w:val="0"/>
          <w:i w:val="0"/>
          <w:color w:val="000000"/>
          <w:sz w:val="21"/>
        </w:rPr>
        <w:t>Sidebar section "Past Queries" shows the last ten prompts; click to rerun. Autocomplete in the chat input does fuzzy matching against past prompts and suggestion-pill text. Filter by date range, tool family, or node label. Implementation: useLocalStorage + Fuse.js for fuzzy search.</w:t>
      </w:r>
    </w:p>
    <w:p>
      <w:pPr>
        <w:spacing w:before="160" w:after="60"/>
        <w:outlineLvl w:val="3"/>
      </w:pPr>
      <w:r>
        <w:rPr>
          <w:rFonts w:ascii="Calibri" w:hAnsi="Calibri"/>
          <w:b/>
          <w:i w:val="0"/>
          <w:color w:val="00897B"/>
          <w:sz w:val="22"/>
        </w:rPr>
        <w:t>13.14  Agent-Decision Lineage UI</w:t>
      </w:r>
    </w:p>
    <w:p>
      <w:pPr>
        <w:spacing w:after="120"/>
        <w:jc w:val="both"/>
      </w:pPr>
      <w:r>
        <w:rPr>
          <w:rFonts w:ascii="Calibri" w:hAnsi="Calibri"/>
          <w:b w:val="0"/>
          <w:i w:val="0"/>
          <w:color w:val="000000"/>
          <w:sz w:val="21"/>
        </w:rPr>
        <w:t>A "Why?" button on each assistant turn opens a modal showing the decision path: intent classification → agent routing → tool selection rationale. Each step shows a confidence score. Backed by the same /agent/conversation/{id}/lineage endpoint introduced in 13.2.</w:t>
      </w:r>
    </w:p>
    <w:p>
      <w:pPr>
        <w:spacing w:before="160" w:after="60"/>
        <w:outlineLvl w:val="3"/>
      </w:pPr>
      <w:r>
        <w:rPr>
          <w:rFonts w:ascii="Calibri" w:hAnsi="Calibri"/>
          <w:b/>
          <w:i w:val="0"/>
          <w:color w:val="00897B"/>
          <w:sz w:val="22"/>
        </w:rPr>
        <w:t>13.15  Node-Property Hover Tooltips</w:t>
      </w:r>
    </w:p>
    <w:p>
      <w:pPr>
        <w:spacing w:after="120"/>
        <w:jc w:val="both"/>
      </w:pPr>
      <w:r>
        <w:rPr>
          <w:rFonts w:ascii="Calibri" w:hAnsi="Calibri"/>
          <w:b w:val="0"/>
          <w:i w:val="0"/>
          <w:color w:val="000000"/>
          <w:sz w:val="21"/>
        </w:rPr>
        <w:t>Hovering a graph node shows a floating tooltip: [Label] node_name | Properties: { … } | Confidence: 0.95 | Updated: 2 d ago. Implementation: Cytoscape's nodeHover event positions the tooltip near the cursor, populated from node.data().</w:t>
      </w:r>
    </w:p>
    <w:p>
      <w:pPr>
        <w:spacing w:before="280" w:after="160"/>
        <w:outlineLvl w:val="1"/>
      </w:pPr>
      <w:r>
        <w:rPr>
          <w:rFonts w:ascii="Calibri" w:hAnsi="Calibri"/>
          <w:b/>
          <w:i w:val="0"/>
          <w:color w:val="1B3A6B"/>
          <w:sz w:val="34"/>
        </w:rPr>
        <w:t>Accessibility and Inclusivity</w:t>
      </w:r>
    </w:p>
    <w:p>
      <w:pPr>
        <w:spacing w:before="200" w:after="80"/>
        <w:outlineLvl w:val="2"/>
      </w:pPr>
      <w:r>
        <w:rPr>
          <w:rFonts w:ascii="Calibri" w:hAnsi="Calibri"/>
          <w:b/>
          <w:i w:val="0"/>
          <w:color w:val="2E6DA4"/>
          <w:sz w:val="26"/>
        </w:rPr>
        <w:t>14.1  Standards Targeted</w:t>
      </w:r>
    </w:p>
    <w:p>
      <w:pPr>
        <w:pStyle w:val="ListBullet"/>
        <w:spacing w:after="40"/>
      </w:pPr>
      <w:r>
        <w:rPr>
          <w:rFonts w:ascii="Calibri" w:hAnsi="Calibri"/>
          <w:b w:val="0"/>
          <w:i w:val="0"/>
          <w:sz w:val="21"/>
        </w:rPr>
        <w:t>WCAG 2.2 AA — keyboard, contrast, alt text, focus visibility.</w:t>
      </w:r>
    </w:p>
    <w:p>
      <w:pPr>
        <w:pStyle w:val="ListBullet"/>
        <w:spacing w:after="40"/>
      </w:pPr>
      <w:r>
        <w:rPr>
          <w:rFonts w:ascii="Calibri" w:hAnsi="Calibri"/>
          <w:b w:val="0"/>
          <w:i w:val="0"/>
          <w:sz w:val="21"/>
        </w:rPr>
        <w:t>Section 508 — government-procurement-grade accessibility.</w:t>
      </w:r>
    </w:p>
    <w:p>
      <w:pPr>
        <w:pStyle w:val="ListBullet"/>
        <w:spacing w:after="40"/>
      </w:pPr>
      <w:r>
        <w:rPr>
          <w:rFonts w:ascii="Calibri" w:hAnsi="Calibri"/>
          <w:b w:val="0"/>
          <w:i w:val="0"/>
          <w:sz w:val="21"/>
        </w:rPr>
        <w:t>Internationalisation primitives — message catalogue scaffolding for downstream localisation.</w:t>
      </w:r>
    </w:p>
    <w:p>
      <w:pPr>
        <w:spacing w:before="200" w:after="80"/>
        <w:outlineLvl w:val="2"/>
      </w:pPr>
      <w:r>
        <w:rPr>
          <w:rFonts w:ascii="Calibri" w:hAnsi="Calibri"/>
          <w:b/>
          <w:i w:val="0"/>
          <w:color w:val="2E6DA4"/>
          <w:sz w:val="26"/>
        </w:rPr>
        <w:t>14.2  Inclusive Design Principles</w:t>
      </w:r>
    </w:p>
    <w:p>
      <w:pPr>
        <w:spacing w:after="120"/>
        <w:jc w:val="both"/>
      </w:pPr>
      <w:r>
        <w:rPr>
          <w:rFonts w:ascii="Calibri" w:hAnsi="Calibri"/>
          <w:b w:val="0"/>
          <w:i w:val="0"/>
          <w:color w:val="000000"/>
          <w:sz w:val="21"/>
        </w:rPr>
        <w:t>The UI programme adopts three inclusive-design principles. First, no exclusive reliance on colour to communicate meaning — every colour code is paired with an icon or text label. Second, every interactive element exposes a name, role, and value to assistive technology. Third, animation respects prefers-reduced-motion. These are non-negotiable defaults baked into the component library.</w:t>
      </w:r>
    </w:p>
    <w:p>
      <w:r>
        <w:br w:type="page"/>
      </w:r>
    </w:p>
    <w:p>
      <w:pPr>
        <w:spacing w:before="360" w:after="240"/>
        <w:outlineLvl w:val="0"/>
      </w:pPr>
      <w:r>
        <w:rPr>
          <w:rFonts w:ascii="Calibri" w:hAnsi="Calibri"/>
          <w:b/>
          <w:i w:val="0"/>
          <w:color w:val="A6192E"/>
          <w:sz w:val="48"/>
        </w:rPr>
        <w:t>Part IV — Programme Roadmap</w:t>
      </w:r>
    </w:p>
    <w:p>
      <w:r>
        <w:br w:type="page"/>
      </w:r>
    </w:p>
    <w:p>
      <w:pPr>
        <w:spacing w:before="280" w:after="160"/>
        <w:outlineLvl w:val="1"/>
      </w:pPr>
      <w:r>
        <w:rPr>
          <w:rFonts w:ascii="Calibri" w:hAnsi="Calibri"/>
          <w:b/>
          <w:i w:val="0"/>
          <w:color w:val="1B3A6B"/>
          <w:sz w:val="34"/>
        </w:rPr>
        <w:t>Four-Phase Plan</w:t>
      </w:r>
    </w:p>
    <w:p>
      <w:pPr>
        <w:spacing w:before="200" w:after="80"/>
        <w:outlineLvl w:val="2"/>
      </w:pPr>
      <w:r>
        <w:rPr>
          <w:rFonts w:ascii="Calibri" w:hAnsi="Calibri"/>
          <w:b/>
          <w:i w:val="0"/>
          <w:color w:val="2E6DA4"/>
          <w:sz w:val="26"/>
        </w:rPr>
        <w:t>15.1  Phase Overview</w:t>
      </w:r>
    </w:p>
    <w:tbl>
      <w:tblPr>
        <w:tblStyle w:val="LightGrid-Accent1"/>
        <w:tblW w:type="auto" w:w="0"/>
        <w:jc w:val="center"/>
        <w:tblLook w:firstColumn="1" w:firstRow="1" w:lastColumn="0" w:lastRow="0" w:noHBand="0" w:noVBand="1" w:val="04A0"/>
      </w:tblPr>
      <w:tblGrid>
        <w:gridCol w:w="3324"/>
        <w:gridCol w:w="3324"/>
        <w:gridCol w:w="3324"/>
      </w:tblGrid>
      <w:tr>
        <w:tc>
          <w:tcPr>
            <w:tcW w:type="dxa" w:w="3324"/>
            <w:shd w:val="clear" w:color="auto" w:fill="1B3A6B"/>
            <w:vAlign w:val="top"/>
          </w:tcPr>
          <w:p>
            <w:r/>
            <w:r>
              <w:rPr>
                <w:rFonts w:ascii="Calibri" w:hAnsi="Calibri"/>
                <w:b/>
                <w:i w:val="0"/>
                <w:color w:val="FFFFFF"/>
                <w:sz w:val="18"/>
              </w:rPr>
              <w:t>Phase</w:t>
            </w:r>
          </w:p>
        </w:tc>
        <w:tc>
          <w:tcPr>
            <w:tcW w:type="dxa" w:w="3324"/>
            <w:shd w:val="clear" w:color="auto" w:fill="1B3A6B"/>
            <w:vAlign w:val="top"/>
          </w:tcPr>
          <w:p>
            <w:r/>
            <w:r>
              <w:rPr>
                <w:rFonts w:ascii="Calibri" w:hAnsi="Calibri"/>
                <w:b/>
                <w:i w:val="0"/>
                <w:color w:val="FFFFFF"/>
                <w:sz w:val="18"/>
              </w:rPr>
              <w:t>Weeks</w:t>
            </w:r>
          </w:p>
        </w:tc>
        <w:tc>
          <w:tcPr>
            <w:tcW w:type="dxa" w:w="3324"/>
            <w:shd w:val="clear" w:color="auto" w:fill="1B3A6B"/>
            <w:vAlign w:val="top"/>
          </w:tcPr>
          <w:p>
            <w:r/>
            <w:r>
              <w:rPr>
                <w:rFonts w:ascii="Calibri" w:hAnsi="Calibri"/>
                <w:b/>
                <w:i w:val="0"/>
                <w:color w:val="FFFFFF"/>
                <w:sz w:val="18"/>
              </w:rPr>
              <w:t>Outcomes</w:t>
            </w:r>
          </w:p>
        </w:tc>
      </w:tr>
      <w:tr>
        <w:tc>
          <w:tcPr>
            <w:tcW w:type="dxa" w:w="3324"/>
            <w:vAlign w:val="top"/>
          </w:tcPr>
          <w:p>
            <w:r/>
            <w:r>
              <w:rPr>
                <w:rFonts w:ascii="Calibri" w:hAnsi="Calibri"/>
                <w:b w:val="0"/>
                <w:i w:val="0"/>
                <w:color w:val="000000"/>
                <w:sz w:val="18"/>
              </w:rPr>
              <w:t>1. Foundation Fixes</w:t>
            </w:r>
          </w:p>
        </w:tc>
        <w:tc>
          <w:tcPr>
            <w:tcW w:type="dxa" w:w="3324"/>
            <w:vAlign w:val="top"/>
          </w:tcPr>
          <w:p>
            <w:r/>
            <w:r>
              <w:rPr>
                <w:rFonts w:ascii="Calibri" w:hAnsi="Calibri"/>
                <w:b w:val="0"/>
                <w:i w:val="0"/>
                <w:color w:val="000000"/>
                <w:sz w:val="18"/>
              </w:rPr>
              <w:t>1 – 4</w:t>
            </w:r>
          </w:p>
        </w:tc>
        <w:tc>
          <w:tcPr>
            <w:tcW w:type="dxa" w:w="3324"/>
            <w:vAlign w:val="top"/>
          </w:tcPr>
          <w:p>
            <w:r/>
            <w:r>
              <w:rPr>
                <w:rFonts w:ascii="Calibri" w:hAnsi="Calibri"/>
                <w:b w:val="0"/>
                <w:i w:val="0"/>
                <w:color w:val="000000"/>
                <w:sz w:val="18"/>
              </w:rPr>
              <w:t>All CRITICAL + HIGH findings resolved; structured logging; deep /health; rate limiting live.</w:t>
            </w:r>
          </w:p>
        </w:tc>
      </w:tr>
      <w:tr>
        <w:tc>
          <w:tcPr>
            <w:tcW w:type="dxa" w:w="3324"/>
            <w:vAlign w:val="top"/>
          </w:tcPr>
          <w:p>
            <w:r/>
            <w:r>
              <w:rPr>
                <w:rFonts w:ascii="Calibri" w:hAnsi="Calibri"/>
                <w:b w:val="0"/>
                <w:i w:val="0"/>
                <w:color w:val="000000"/>
                <w:sz w:val="18"/>
              </w:rPr>
              <w:t>2. Session &amp; Observability</w:t>
            </w:r>
          </w:p>
        </w:tc>
        <w:tc>
          <w:tcPr>
            <w:tcW w:type="dxa" w:w="3324"/>
            <w:vAlign w:val="top"/>
          </w:tcPr>
          <w:p>
            <w:r/>
            <w:r>
              <w:rPr>
                <w:rFonts w:ascii="Calibri" w:hAnsi="Calibri"/>
                <w:b w:val="0"/>
                <w:i w:val="0"/>
                <w:color w:val="000000"/>
                <w:sz w:val="18"/>
              </w:rPr>
              <w:t>5 – 8</w:t>
            </w:r>
          </w:p>
        </w:tc>
        <w:tc>
          <w:tcPr>
            <w:tcW w:type="dxa" w:w="3324"/>
            <w:vAlign w:val="top"/>
          </w:tcPr>
          <w:p>
            <w:r/>
            <w:r>
              <w:rPr>
                <w:rFonts w:ascii="Calibri" w:hAnsi="Calibri"/>
                <w:b w:val="0"/>
                <w:i w:val="0"/>
                <w:color w:val="000000"/>
                <w:sz w:val="18"/>
              </w:rPr>
              <w:t>FileSessionManager replaced; OpenTelemetry + X-Ray; PII / PHI middleware; Neo4j S3 backups; first UI cohort (13.1–13.5).</w:t>
            </w:r>
          </w:p>
        </w:tc>
      </w:tr>
      <w:tr>
        <w:tc>
          <w:tcPr>
            <w:tcW w:type="dxa" w:w="3324"/>
            <w:vAlign w:val="top"/>
          </w:tcPr>
          <w:p>
            <w:r/>
            <w:r>
              <w:rPr>
                <w:rFonts w:ascii="Calibri" w:hAnsi="Calibri"/>
                <w:b w:val="0"/>
                <w:i w:val="0"/>
                <w:color w:val="000000"/>
                <w:sz w:val="18"/>
              </w:rPr>
              <w:t>3. Multi-Agent &amp; New Tools</w:t>
            </w:r>
          </w:p>
        </w:tc>
        <w:tc>
          <w:tcPr>
            <w:tcW w:type="dxa" w:w="3324"/>
            <w:vAlign w:val="top"/>
          </w:tcPr>
          <w:p>
            <w:r/>
            <w:r>
              <w:rPr>
                <w:rFonts w:ascii="Calibri" w:hAnsi="Calibri"/>
                <w:b w:val="0"/>
                <w:i w:val="0"/>
                <w:color w:val="000000"/>
                <w:sz w:val="18"/>
              </w:rPr>
              <w:t>9 – 12</w:t>
            </w:r>
          </w:p>
        </w:tc>
        <w:tc>
          <w:tcPr>
            <w:tcW w:type="dxa" w:w="3324"/>
            <w:vAlign w:val="top"/>
          </w:tcPr>
          <w:p>
            <w:r/>
            <w:r>
              <w:rPr>
                <w:rFonts w:ascii="Calibri" w:hAnsi="Calibri"/>
                <w:b w:val="0"/>
                <w:i w:val="0"/>
                <w:color w:val="000000"/>
                <w:sz w:val="18"/>
              </w:rPr>
              <w:t>Supervisor + specialist topology; PubMed / SEC / Trials agents; Bedrock as primary LLM; UI cohort 13.6–13.10.</w:t>
            </w:r>
          </w:p>
        </w:tc>
      </w:tr>
      <w:tr>
        <w:tc>
          <w:tcPr>
            <w:tcW w:type="dxa" w:w="3324"/>
            <w:vAlign w:val="top"/>
          </w:tcPr>
          <w:p>
            <w:r/>
            <w:r>
              <w:rPr>
                <w:rFonts w:ascii="Calibri" w:hAnsi="Calibri"/>
                <w:b w:val="0"/>
                <w:i w:val="0"/>
                <w:color w:val="000000"/>
                <w:sz w:val="18"/>
              </w:rPr>
              <w:t>4. Vector Search &amp; Audit</w:t>
            </w:r>
          </w:p>
        </w:tc>
        <w:tc>
          <w:tcPr>
            <w:tcW w:type="dxa" w:w="3324"/>
            <w:vAlign w:val="top"/>
          </w:tcPr>
          <w:p>
            <w:r/>
            <w:r>
              <w:rPr>
                <w:rFonts w:ascii="Calibri" w:hAnsi="Calibri"/>
                <w:b w:val="0"/>
                <w:i w:val="0"/>
                <w:color w:val="000000"/>
                <w:sz w:val="18"/>
              </w:rPr>
              <w:t>13 +</w:t>
            </w:r>
          </w:p>
        </w:tc>
        <w:tc>
          <w:tcPr>
            <w:tcW w:type="dxa" w:w="3324"/>
            <w:vAlign w:val="top"/>
          </w:tcPr>
          <w:p>
            <w:r/>
            <w:r>
              <w:rPr>
                <w:rFonts w:ascii="Calibri" w:hAnsi="Calibri"/>
                <w:b w:val="0"/>
                <w:i w:val="0"/>
                <w:color w:val="000000"/>
                <w:sz w:val="18"/>
              </w:rPr>
              <w:t>Bedrock Knowledge Base for unstructured KB; freshness tracking; explainability lineage API; UI cohort 13.11–13.15; accessibility audit.</w:t>
            </w:r>
          </w:p>
        </w:tc>
      </w:tr>
    </w:tbl>
    <w:p/>
    <w:p>
      <w:pPr>
        <w:spacing w:before="200" w:after="80"/>
        <w:outlineLvl w:val="2"/>
      </w:pPr>
      <w:r>
        <w:rPr>
          <w:rFonts w:ascii="Calibri" w:hAnsi="Calibri"/>
          <w:b/>
          <w:i w:val="0"/>
          <w:color w:val="2E6DA4"/>
          <w:sz w:val="26"/>
        </w:rPr>
        <w:t>15.2  Entry / Exit Criteria</w:t>
      </w:r>
    </w:p>
    <w:p>
      <w:pPr>
        <w:pStyle w:val="ListBullet"/>
        <w:spacing w:after="40"/>
      </w:pPr>
      <w:r>
        <w:rPr>
          <w:rFonts w:ascii="Calibri" w:hAnsi="Calibri"/>
          <w:b w:val="0"/>
          <w:i w:val="0"/>
          <w:sz w:val="21"/>
        </w:rPr>
        <w:t>Phase 1 exit — 100 percent of CRITICAL / HIGH findings closed; structured logs in CloudWatch Logs Insights; rate limiting in production.</w:t>
      </w:r>
    </w:p>
    <w:p>
      <w:pPr>
        <w:pStyle w:val="ListBullet"/>
        <w:spacing w:after="40"/>
      </w:pPr>
      <w:r>
        <w:rPr>
          <w:rFonts w:ascii="Calibri" w:hAnsi="Calibri"/>
          <w:b w:val="0"/>
          <w:i w:val="0"/>
          <w:sz w:val="21"/>
        </w:rPr>
        <w:t>Phase 2 exit — DynamoDB-backed sessions; OTel traces visible in X-Ray; PII redaction in production; first five UI enhancements shipped to staging.</w:t>
      </w:r>
    </w:p>
    <w:p>
      <w:pPr>
        <w:pStyle w:val="ListBullet"/>
        <w:spacing w:after="40"/>
      </w:pPr>
      <w:r>
        <w:rPr>
          <w:rFonts w:ascii="Calibri" w:hAnsi="Calibri"/>
          <w:b w:val="0"/>
          <w:i w:val="0"/>
          <w:sz w:val="21"/>
        </w:rPr>
        <w:t>Phase 3 exit — Supervisor routing demonstrably correct on a fixed evaluation set; Bedrock as primary LLM; ten of fifteen UI enhancements live.</w:t>
      </w:r>
    </w:p>
    <w:p>
      <w:pPr>
        <w:pStyle w:val="ListBullet"/>
        <w:spacing w:after="40"/>
      </w:pPr>
      <w:r>
        <w:rPr>
          <w:rFonts w:ascii="Calibri" w:hAnsi="Calibri"/>
          <w:b w:val="0"/>
          <w:i w:val="0"/>
          <w:sz w:val="21"/>
        </w:rPr>
        <w:t>Phase 4 exit — Bedrock KB powering at least one specialist; lineage API live; full UI accessibility audit passed.</w:t>
      </w:r>
    </w:p>
    <w:p>
      <w:pPr>
        <w:spacing w:before="280" w:after="160"/>
        <w:outlineLvl w:val="1"/>
      </w:pPr>
      <w:r>
        <w:rPr>
          <w:rFonts w:ascii="Calibri" w:hAnsi="Calibri"/>
          <w:b/>
          <w:i w:val="0"/>
          <w:color w:val="1B3A6B"/>
          <w:sz w:val="34"/>
        </w:rPr>
        <w:t>Non-Functional Targets</w:t>
      </w:r>
    </w:p>
    <w:tbl>
      <w:tblPr>
        <w:tblStyle w:val="LightGrid-Accent1"/>
        <w:tblW w:type="auto" w:w="0"/>
        <w:jc w:val="center"/>
        <w:tblLook w:firstColumn="1" w:firstRow="1" w:lastColumn="0" w:lastRow="0" w:noHBand="0" w:noVBand="1" w:val="04A0"/>
      </w:tblPr>
      <w:tblGrid>
        <w:gridCol w:w="4986"/>
        <w:gridCol w:w="4986"/>
      </w:tblGrid>
      <w:tr>
        <w:tc>
          <w:tcPr>
            <w:tcW w:type="dxa" w:w="4986"/>
            <w:shd w:val="clear" w:color="auto" w:fill="1B3A6B"/>
            <w:vAlign w:val="top"/>
          </w:tcPr>
          <w:p>
            <w:r/>
            <w:r>
              <w:rPr>
                <w:rFonts w:ascii="Calibri" w:hAnsi="Calibri"/>
                <w:b/>
                <w:i w:val="0"/>
                <w:color w:val="FFFFFF"/>
                <w:sz w:val="18"/>
              </w:rPr>
              <w:t>Dimension</w:t>
            </w:r>
          </w:p>
        </w:tc>
        <w:tc>
          <w:tcPr>
            <w:tcW w:type="dxa" w:w="4986"/>
            <w:shd w:val="clear" w:color="auto" w:fill="1B3A6B"/>
            <w:vAlign w:val="top"/>
          </w:tcPr>
          <w:p>
            <w:r/>
            <w:r>
              <w:rPr>
                <w:rFonts w:ascii="Calibri" w:hAnsi="Calibri"/>
                <w:b/>
                <w:i w:val="0"/>
                <w:color w:val="FFFFFF"/>
                <w:sz w:val="18"/>
              </w:rPr>
              <w:t>Target</w:t>
            </w:r>
          </w:p>
        </w:tc>
      </w:tr>
      <w:tr>
        <w:tc>
          <w:tcPr>
            <w:tcW w:type="dxa" w:w="4986"/>
            <w:vAlign w:val="top"/>
          </w:tcPr>
          <w:p>
            <w:r/>
            <w:r>
              <w:rPr>
                <w:rFonts w:ascii="Calibri" w:hAnsi="Calibri"/>
                <w:b w:val="0"/>
                <w:i w:val="0"/>
                <w:color w:val="000000"/>
                <w:sz w:val="18"/>
              </w:rPr>
              <w:t>Latency P50 (simple query)</w:t>
            </w:r>
          </w:p>
        </w:tc>
        <w:tc>
          <w:tcPr>
            <w:tcW w:type="dxa" w:w="4986"/>
            <w:vAlign w:val="top"/>
          </w:tcPr>
          <w:p>
            <w:r/>
            <w:r>
              <w:rPr>
                <w:rFonts w:ascii="Calibri" w:hAnsi="Calibri"/>
                <w:b w:val="0"/>
                <w:i w:val="0"/>
                <w:color w:val="000000"/>
                <w:sz w:val="18"/>
              </w:rPr>
              <w:t>&lt; 2 seconds</w:t>
            </w:r>
          </w:p>
        </w:tc>
      </w:tr>
      <w:tr>
        <w:tc>
          <w:tcPr>
            <w:tcW w:type="dxa" w:w="4986"/>
            <w:vAlign w:val="top"/>
          </w:tcPr>
          <w:p>
            <w:r/>
            <w:r>
              <w:rPr>
                <w:rFonts w:ascii="Calibri" w:hAnsi="Calibri"/>
                <w:b w:val="0"/>
                <w:i w:val="0"/>
                <w:color w:val="000000"/>
                <w:sz w:val="18"/>
              </w:rPr>
              <w:t>Latency P95 (multi-hop)</w:t>
            </w:r>
          </w:p>
        </w:tc>
        <w:tc>
          <w:tcPr>
            <w:tcW w:type="dxa" w:w="4986"/>
            <w:vAlign w:val="top"/>
          </w:tcPr>
          <w:p>
            <w:r/>
            <w:r>
              <w:rPr>
                <w:rFonts w:ascii="Calibri" w:hAnsi="Calibri"/>
                <w:b w:val="0"/>
                <w:i w:val="0"/>
                <w:color w:val="000000"/>
                <w:sz w:val="18"/>
              </w:rPr>
              <w:t>&lt; 10 seconds</w:t>
            </w:r>
          </w:p>
        </w:tc>
      </w:tr>
      <w:tr>
        <w:tc>
          <w:tcPr>
            <w:tcW w:type="dxa" w:w="4986"/>
            <w:vAlign w:val="top"/>
          </w:tcPr>
          <w:p>
            <w:r/>
            <w:r>
              <w:rPr>
                <w:rFonts w:ascii="Calibri" w:hAnsi="Calibri"/>
                <w:b w:val="0"/>
                <w:i w:val="0"/>
                <w:color w:val="000000"/>
                <w:sz w:val="18"/>
              </w:rPr>
              <w:t>Concurrent agents</w:t>
            </w:r>
          </w:p>
        </w:tc>
        <w:tc>
          <w:tcPr>
            <w:tcW w:type="dxa" w:w="4986"/>
            <w:vAlign w:val="top"/>
          </w:tcPr>
          <w:p>
            <w:r/>
            <w:r>
              <w:rPr>
                <w:rFonts w:ascii="Calibri" w:hAnsi="Calibri"/>
                <w:b w:val="0"/>
                <w:i w:val="0"/>
                <w:color w:val="000000"/>
                <w:sz w:val="18"/>
              </w:rPr>
              <w:t>100 sustained</w:t>
            </w:r>
          </w:p>
        </w:tc>
      </w:tr>
      <w:tr>
        <w:tc>
          <w:tcPr>
            <w:tcW w:type="dxa" w:w="4986"/>
            <w:vAlign w:val="top"/>
          </w:tcPr>
          <w:p>
            <w:r/>
            <w:r>
              <w:rPr>
                <w:rFonts w:ascii="Calibri" w:hAnsi="Calibri"/>
                <w:b w:val="0"/>
                <w:i w:val="0"/>
                <w:color w:val="000000"/>
                <w:sz w:val="18"/>
              </w:rPr>
              <w:t>Throughput per service</w:t>
            </w:r>
          </w:p>
        </w:tc>
        <w:tc>
          <w:tcPr>
            <w:tcW w:type="dxa" w:w="4986"/>
            <w:vAlign w:val="top"/>
          </w:tcPr>
          <w:p>
            <w:r/>
            <w:r>
              <w:rPr>
                <w:rFonts w:ascii="Calibri" w:hAnsi="Calibri"/>
                <w:b w:val="0"/>
                <w:i w:val="0"/>
                <w:color w:val="000000"/>
                <w:sz w:val="18"/>
              </w:rPr>
              <w:t>1,000 req / minute</w:t>
            </w:r>
          </w:p>
        </w:tc>
      </w:tr>
      <w:tr>
        <w:tc>
          <w:tcPr>
            <w:tcW w:type="dxa" w:w="4986"/>
            <w:vAlign w:val="top"/>
          </w:tcPr>
          <w:p>
            <w:r/>
            <w:r>
              <w:rPr>
                <w:rFonts w:ascii="Calibri" w:hAnsi="Calibri"/>
                <w:b w:val="0"/>
                <w:i w:val="0"/>
                <w:color w:val="000000"/>
                <w:sz w:val="18"/>
              </w:rPr>
              <w:t>Availability</w:t>
            </w:r>
          </w:p>
        </w:tc>
        <w:tc>
          <w:tcPr>
            <w:tcW w:type="dxa" w:w="4986"/>
            <w:vAlign w:val="top"/>
          </w:tcPr>
          <w:p>
            <w:r/>
            <w:r>
              <w:rPr>
                <w:rFonts w:ascii="Calibri" w:hAnsi="Calibri"/>
                <w:b w:val="0"/>
                <w:i w:val="0"/>
                <w:color w:val="000000"/>
                <w:sz w:val="18"/>
              </w:rPr>
              <w:t>99.9 % (multi-AZ)</w:t>
            </w:r>
          </w:p>
        </w:tc>
      </w:tr>
      <w:tr>
        <w:tc>
          <w:tcPr>
            <w:tcW w:type="dxa" w:w="4986"/>
            <w:vAlign w:val="top"/>
          </w:tcPr>
          <w:p>
            <w:r/>
            <w:r>
              <w:rPr>
                <w:rFonts w:ascii="Calibri" w:hAnsi="Calibri"/>
                <w:b w:val="0"/>
                <w:i w:val="0"/>
                <w:color w:val="000000"/>
                <w:sz w:val="18"/>
              </w:rPr>
              <w:t>Data residency</w:t>
            </w:r>
          </w:p>
        </w:tc>
        <w:tc>
          <w:tcPr>
            <w:tcW w:type="dxa" w:w="4986"/>
            <w:vAlign w:val="top"/>
          </w:tcPr>
          <w:p>
            <w:r/>
            <w:r>
              <w:rPr>
                <w:rFonts w:ascii="Calibri" w:hAnsi="Calibri"/>
                <w:b w:val="0"/>
                <w:i w:val="0"/>
                <w:color w:val="000000"/>
                <w:sz w:val="18"/>
              </w:rPr>
              <w:t>Within AWS partition end-to-end</w:t>
            </w:r>
          </w:p>
        </w:tc>
      </w:tr>
      <w:tr>
        <w:tc>
          <w:tcPr>
            <w:tcW w:type="dxa" w:w="4986"/>
            <w:vAlign w:val="top"/>
          </w:tcPr>
          <w:p>
            <w:r/>
            <w:r>
              <w:rPr>
                <w:rFonts w:ascii="Calibri" w:hAnsi="Calibri"/>
                <w:b w:val="0"/>
                <w:i w:val="0"/>
                <w:color w:val="000000"/>
                <w:sz w:val="18"/>
              </w:rPr>
              <w:t>Audit</w:t>
            </w:r>
          </w:p>
        </w:tc>
        <w:tc>
          <w:tcPr>
            <w:tcW w:type="dxa" w:w="4986"/>
            <w:vAlign w:val="top"/>
          </w:tcPr>
          <w:p>
            <w:r/>
            <w:r>
              <w:rPr>
                <w:rFonts w:ascii="Calibri" w:hAnsi="Calibri"/>
                <w:b w:val="0"/>
                <w:i w:val="0"/>
                <w:color w:val="000000"/>
                <w:sz w:val="18"/>
              </w:rPr>
              <w:t>Per-decision lineage; 21 CFR Part 11-ready</w:t>
            </w:r>
          </w:p>
        </w:tc>
      </w:tr>
      <w:tr>
        <w:tc>
          <w:tcPr>
            <w:tcW w:type="dxa" w:w="4986"/>
            <w:vAlign w:val="top"/>
          </w:tcPr>
          <w:p>
            <w:r/>
            <w:r>
              <w:rPr>
                <w:rFonts w:ascii="Calibri" w:hAnsi="Calibri"/>
                <w:b w:val="0"/>
                <w:i w:val="0"/>
                <w:color w:val="000000"/>
                <w:sz w:val="18"/>
              </w:rPr>
              <w:t>Security posture</w:t>
            </w:r>
          </w:p>
        </w:tc>
        <w:tc>
          <w:tcPr>
            <w:tcW w:type="dxa" w:w="4986"/>
            <w:vAlign w:val="top"/>
          </w:tcPr>
          <w:p>
            <w:r/>
            <w:r>
              <w:rPr>
                <w:rFonts w:ascii="Calibri" w:hAnsi="Calibri"/>
                <w:b w:val="0"/>
                <w:i w:val="0"/>
                <w:color w:val="000000"/>
                <w:sz w:val="18"/>
              </w:rPr>
              <w:t>Zero trust; gateway + service authn / authz</w:t>
            </w:r>
          </w:p>
        </w:tc>
      </w:tr>
      <w:tr>
        <w:tc>
          <w:tcPr>
            <w:tcW w:type="dxa" w:w="4986"/>
            <w:vAlign w:val="top"/>
          </w:tcPr>
          <w:p>
            <w:r/>
            <w:r>
              <w:rPr>
                <w:rFonts w:ascii="Calibri" w:hAnsi="Calibri"/>
                <w:b w:val="0"/>
                <w:i w:val="0"/>
                <w:color w:val="000000"/>
                <w:sz w:val="18"/>
              </w:rPr>
              <w:t>Accessibility</w:t>
            </w:r>
          </w:p>
        </w:tc>
        <w:tc>
          <w:tcPr>
            <w:tcW w:type="dxa" w:w="4986"/>
            <w:vAlign w:val="top"/>
          </w:tcPr>
          <w:p>
            <w:r/>
            <w:r>
              <w:rPr>
                <w:rFonts w:ascii="Calibri" w:hAnsi="Calibri"/>
                <w:b w:val="0"/>
                <w:i w:val="0"/>
                <w:color w:val="000000"/>
                <w:sz w:val="18"/>
              </w:rPr>
              <w:t>WCAG 2.2 AA</w:t>
            </w:r>
          </w:p>
        </w:tc>
      </w:tr>
      <w:tr>
        <w:tc>
          <w:tcPr>
            <w:tcW w:type="dxa" w:w="4986"/>
            <w:vAlign w:val="top"/>
          </w:tcPr>
          <w:p>
            <w:r/>
            <w:r>
              <w:rPr>
                <w:rFonts w:ascii="Calibri" w:hAnsi="Calibri"/>
                <w:b w:val="0"/>
                <w:i w:val="0"/>
                <w:color w:val="000000"/>
                <w:sz w:val="18"/>
              </w:rPr>
              <w:t>Mobile experience</w:t>
            </w:r>
          </w:p>
        </w:tc>
        <w:tc>
          <w:tcPr>
            <w:tcW w:type="dxa" w:w="4986"/>
            <w:vAlign w:val="top"/>
          </w:tcPr>
          <w:p>
            <w:r/>
            <w:r>
              <w:rPr>
                <w:rFonts w:ascii="Calibri" w:hAnsi="Calibri"/>
                <w:b w:val="0"/>
                <w:i w:val="0"/>
                <w:color w:val="000000"/>
                <w:sz w:val="18"/>
              </w:rPr>
              <w:t>Functional on tablet and phone</w:t>
            </w:r>
          </w:p>
        </w:tc>
      </w:tr>
    </w:tbl>
    <w:p/>
    <w:p>
      <w:pPr>
        <w:spacing w:before="280" w:after="160"/>
        <w:outlineLvl w:val="1"/>
      </w:pPr>
      <w:r>
        <w:rPr>
          <w:rFonts w:ascii="Calibri" w:hAnsi="Calibri"/>
          <w:b/>
          <w:i w:val="0"/>
          <w:color w:val="1B3A6B"/>
          <w:sz w:val="34"/>
        </w:rPr>
        <w:t>Investment, Risk and ROI</w:t>
      </w:r>
    </w:p>
    <w:p>
      <w:pPr>
        <w:spacing w:before="200" w:after="80"/>
        <w:outlineLvl w:val="2"/>
      </w:pPr>
      <w:r>
        <w:rPr>
          <w:rFonts w:ascii="Calibri" w:hAnsi="Calibri"/>
          <w:b/>
          <w:i w:val="0"/>
          <w:color w:val="2E6DA4"/>
          <w:sz w:val="26"/>
        </w:rPr>
        <w:t>17.1  Programme Risks</w:t>
      </w:r>
    </w:p>
    <w:p>
      <w:pPr>
        <w:pStyle w:val="ListBullet"/>
        <w:spacing w:after="40"/>
      </w:pPr>
      <w:r>
        <w:rPr>
          <w:rFonts w:ascii="Calibri" w:hAnsi="Calibri"/>
          <w:b w:val="0"/>
          <w:i w:val="0"/>
          <w:sz w:val="21"/>
        </w:rPr>
        <w:t>Bedrock service availability in eu-central-1 for Phase 3 — fallback via cross-region routing or Anthropic.</w:t>
      </w:r>
    </w:p>
    <w:p>
      <w:pPr>
        <w:pStyle w:val="ListBullet"/>
        <w:spacing w:after="40"/>
      </w:pPr>
      <w:r>
        <w:rPr>
          <w:rFonts w:ascii="Calibri" w:hAnsi="Calibri"/>
          <w:b w:val="0"/>
          <w:i w:val="0"/>
          <w:sz w:val="21"/>
        </w:rPr>
        <w:t>Source-data licensing for SEC EDGAR / ChEMBL beyond fair-use limits — procurement workstream in parallel with Phase 3.</w:t>
      </w:r>
    </w:p>
    <w:p>
      <w:pPr>
        <w:pStyle w:val="ListBullet"/>
        <w:spacing w:after="40"/>
      </w:pPr>
      <w:r>
        <w:rPr>
          <w:rFonts w:ascii="Calibri" w:hAnsi="Calibri"/>
          <w:b w:val="0"/>
          <w:i w:val="0"/>
          <w:sz w:val="21"/>
        </w:rPr>
        <w:t>Change management on persona workflows — internal champions and phased rollout.</w:t>
      </w:r>
    </w:p>
    <w:p>
      <w:pPr>
        <w:pStyle w:val="ListBullet"/>
        <w:spacing w:after="40"/>
      </w:pPr>
      <w:r>
        <w:rPr>
          <w:rFonts w:ascii="Calibri" w:hAnsi="Calibri"/>
          <w:b w:val="0"/>
          <w:i w:val="0"/>
          <w:sz w:val="21"/>
        </w:rPr>
        <w:t>Recruitment for the specialist UI workstream — secured through engagement with the existing Next.js team.</w:t>
      </w:r>
    </w:p>
    <w:p>
      <w:pPr>
        <w:spacing w:before="200" w:after="80"/>
        <w:outlineLvl w:val="2"/>
      </w:pPr>
      <w:r>
        <w:rPr>
          <w:rFonts w:ascii="Calibri" w:hAnsi="Calibri"/>
          <w:b/>
          <w:i w:val="0"/>
          <w:color w:val="2E6DA4"/>
          <w:sz w:val="26"/>
        </w:rPr>
        <w:t>17.2  Expected ROI</w:t>
      </w:r>
    </w:p>
    <w:p>
      <w:pPr>
        <w:spacing w:after="120"/>
        <w:jc w:val="both"/>
      </w:pPr>
      <w:r>
        <w:rPr>
          <w:rFonts w:ascii="Calibri" w:hAnsi="Calibri"/>
          <w:b w:val="0"/>
          <w:i w:val="0"/>
          <w:color w:val="000000"/>
          <w:sz w:val="21"/>
        </w:rPr>
        <w:t>The programme's ROI is the redirection of multiple analyst-days per investigation to minutes, scaled across the BD organisation. A conservative estimate, drawn from the validation document's value drivers, is two to four hours saved per significant query, with between fifty and two hundred such queries per week across the active analyst cohort. The eight-week Phase 1 + Phase 2 work pays for itself inside a quarter on time-saving alone; Phases 3 and 4 deliver the strategic positioning of Eugene as a CSL-wide intelligence platform.</w:t>
      </w:r>
    </w:p>
    <w:p>
      <w:pPr>
        <w:spacing w:before="280" w:after="160"/>
        <w:outlineLvl w:val="1"/>
      </w:pPr>
      <w:r>
        <w:rPr>
          <w:rFonts w:ascii="Calibri" w:hAnsi="Calibri"/>
          <w:b/>
          <w:i w:val="0"/>
          <w:color w:val="1B3A6B"/>
          <w:sz w:val="34"/>
        </w:rPr>
        <w:t>Appendix A — Findings Reference (Full)</w:t>
      </w:r>
    </w:p>
    <w:tbl>
      <w:tblPr>
        <w:tblStyle w:val="LightGrid-Accent1"/>
        <w:tblW w:type="auto" w:w="0"/>
        <w:jc w:val="center"/>
        <w:tblLook w:firstColumn="1" w:firstRow="1" w:lastColumn="0" w:lastRow="0" w:noHBand="0" w:noVBand="1" w:val="04A0"/>
      </w:tblPr>
      <w:tblGrid>
        <w:gridCol w:w="1662"/>
        <w:gridCol w:w="1662"/>
        <w:gridCol w:w="1662"/>
        <w:gridCol w:w="1662"/>
        <w:gridCol w:w="1662"/>
        <w:gridCol w:w="1662"/>
      </w:tblGrid>
      <w:tr>
        <w:tc>
          <w:tcPr>
            <w:tcW w:type="dxa" w:w="1662"/>
            <w:shd w:val="clear" w:color="auto" w:fill="1B3A6B"/>
            <w:vAlign w:val="top"/>
          </w:tcPr>
          <w:p>
            <w:r/>
            <w:r>
              <w:rPr>
                <w:rFonts w:ascii="Calibri" w:hAnsi="Calibri"/>
                <w:b/>
                <w:i w:val="0"/>
                <w:color w:val="FFFFFF"/>
                <w:sz w:val="18"/>
              </w:rPr>
              <w:t>ID</w:t>
            </w:r>
          </w:p>
        </w:tc>
        <w:tc>
          <w:tcPr>
            <w:tcW w:type="dxa" w:w="1662"/>
            <w:shd w:val="clear" w:color="auto" w:fill="1B3A6B"/>
            <w:vAlign w:val="top"/>
          </w:tcPr>
          <w:p>
            <w:r/>
            <w:r>
              <w:rPr>
                <w:rFonts w:ascii="Calibri" w:hAnsi="Calibri"/>
                <w:b/>
                <w:i w:val="0"/>
                <w:color w:val="FFFFFF"/>
                <w:sz w:val="18"/>
              </w:rPr>
              <w:t>Severity</w:t>
            </w:r>
          </w:p>
        </w:tc>
        <w:tc>
          <w:tcPr>
            <w:tcW w:type="dxa" w:w="1662"/>
            <w:shd w:val="clear" w:color="auto" w:fill="1B3A6B"/>
            <w:vAlign w:val="top"/>
          </w:tcPr>
          <w:p>
            <w:r/>
            <w:r>
              <w:rPr>
                <w:rFonts w:ascii="Calibri" w:hAnsi="Calibri"/>
                <w:b/>
                <w:i w:val="0"/>
                <w:color w:val="FFFFFF"/>
                <w:sz w:val="18"/>
              </w:rPr>
              <w:t>Title</w:t>
            </w:r>
          </w:p>
        </w:tc>
        <w:tc>
          <w:tcPr>
            <w:tcW w:type="dxa" w:w="1662"/>
            <w:shd w:val="clear" w:color="auto" w:fill="1B3A6B"/>
            <w:vAlign w:val="top"/>
          </w:tcPr>
          <w:p>
            <w:r/>
            <w:r>
              <w:rPr>
                <w:rFonts w:ascii="Calibri" w:hAnsi="Calibri"/>
                <w:b/>
                <w:i w:val="0"/>
                <w:color w:val="FFFFFF"/>
                <w:sz w:val="18"/>
              </w:rPr>
              <w:t>Description</w:t>
            </w:r>
          </w:p>
        </w:tc>
        <w:tc>
          <w:tcPr>
            <w:tcW w:type="dxa" w:w="1662"/>
            <w:shd w:val="clear" w:color="auto" w:fill="1B3A6B"/>
            <w:vAlign w:val="top"/>
          </w:tcPr>
          <w:p>
            <w:r/>
            <w:r>
              <w:rPr>
                <w:rFonts w:ascii="Calibri" w:hAnsi="Calibri"/>
                <w:b/>
                <w:i w:val="0"/>
                <w:color w:val="FFFFFF"/>
                <w:sz w:val="18"/>
              </w:rPr>
              <w:t>Remediation</w:t>
            </w:r>
          </w:p>
        </w:tc>
        <w:tc>
          <w:tcPr>
            <w:tcW w:type="dxa" w:w="1662"/>
            <w:shd w:val="clear" w:color="auto" w:fill="1B3A6B"/>
            <w:vAlign w:val="top"/>
          </w:tcPr>
          <w:p>
            <w:r/>
            <w:r>
              <w:rPr>
                <w:rFonts w:ascii="Calibri" w:hAnsi="Calibri"/>
                <w:b/>
                <w:i w:val="0"/>
                <w:color w:val="FFFFFF"/>
                <w:sz w:val="18"/>
              </w:rPr>
              <w:t>Effort</w:t>
            </w:r>
          </w:p>
        </w:tc>
      </w:tr>
      <w:tr>
        <w:tc>
          <w:tcPr>
            <w:tcW w:type="dxa" w:w="1662"/>
            <w:vAlign w:val="top"/>
          </w:tcPr>
          <w:p>
            <w:r/>
            <w:r>
              <w:rPr>
                <w:rFonts w:ascii="Calibri" w:hAnsi="Calibri"/>
                <w:b w:val="0"/>
                <w:i w:val="0"/>
                <w:color w:val="000000"/>
                <w:sz w:val="18"/>
              </w:rPr>
              <w:t>SEC-01</w:t>
            </w:r>
          </w:p>
        </w:tc>
        <w:tc>
          <w:tcPr>
            <w:tcW w:type="dxa" w:w="1662"/>
            <w:vAlign w:val="top"/>
          </w:tcPr>
          <w:p>
            <w:r/>
            <w:r>
              <w:rPr>
                <w:rFonts w:ascii="Calibri" w:hAnsi="Calibri"/>
                <w:b w:val="0"/>
                <w:i w:val="0"/>
                <w:color w:val="000000"/>
                <w:sz w:val="18"/>
              </w:rPr>
              <w:t>CRITICAL</w:t>
            </w:r>
          </w:p>
        </w:tc>
        <w:tc>
          <w:tcPr>
            <w:tcW w:type="dxa" w:w="1662"/>
            <w:vAlign w:val="top"/>
          </w:tcPr>
          <w:p>
            <w:r/>
            <w:r>
              <w:rPr>
                <w:rFonts w:ascii="Calibri" w:hAnsi="Calibri"/>
                <w:b w:val="0"/>
                <w:i w:val="0"/>
                <w:color w:val="000000"/>
                <w:sz w:val="18"/>
              </w:rPr>
              <w:t>SSL verification disabled in MCP client</w:t>
            </w:r>
          </w:p>
        </w:tc>
        <w:tc>
          <w:tcPr>
            <w:tcW w:type="dxa" w:w="1662"/>
            <w:vAlign w:val="top"/>
          </w:tcPr>
          <w:p>
            <w:r/>
            <w:r>
              <w:rPr>
                <w:rFonts w:ascii="Calibri" w:hAnsi="Calibri"/>
                <w:b w:val="0"/>
                <w:i w:val="0"/>
                <w:color w:val="000000"/>
                <w:sz w:val="18"/>
              </w:rPr>
              <w:t>verify=False on httpx; service-to-service traffic vulnerable to MITM.</w:t>
            </w:r>
          </w:p>
        </w:tc>
        <w:tc>
          <w:tcPr>
            <w:tcW w:type="dxa" w:w="1662"/>
            <w:vAlign w:val="top"/>
          </w:tcPr>
          <w:p>
            <w:r/>
            <w:r>
              <w:rPr>
                <w:rFonts w:ascii="Calibri" w:hAnsi="Calibri"/>
                <w:b w:val="0"/>
                <w:i w:val="0"/>
                <w:color w:val="000000"/>
                <w:sz w:val="18"/>
              </w:rPr>
              <w:t>Set verify=True; pass cert path for self-signed dev certs.</w:t>
            </w:r>
          </w:p>
        </w:tc>
        <w:tc>
          <w:tcPr>
            <w:tcW w:type="dxa" w:w="1662"/>
            <w:vAlign w:val="top"/>
          </w:tcPr>
          <w:p>
            <w:r/>
            <w:r>
              <w:rPr>
                <w:rFonts w:ascii="Calibri" w:hAnsi="Calibri"/>
                <w:b w:val="0"/>
                <w:i w:val="0"/>
                <w:color w:val="000000"/>
                <w:sz w:val="18"/>
              </w:rPr>
              <w:t>0.5 day</w:t>
            </w:r>
          </w:p>
        </w:tc>
      </w:tr>
      <w:tr>
        <w:tc>
          <w:tcPr>
            <w:tcW w:type="dxa" w:w="1662"/>
            <w:vAlign w:val="top"/>
          </w:tcPr>
          <w:p>
            <w:r/>
            <w:r>
              <w:rPr>
                <w:rFonts w:ascii="Calibri" w:hAnsi="Calibri"/>
                <w:b w:val="0"/>
                <w:i w:val="0"/>
                <w:color w:val="000000"/>
                <w:sz w:val="18"/>
              </w:rPr>
              <w:t>AGT-01</w:t>
            </w:r>
          </w:p>
        </w:tc>
        <w:tc>
          <w:tcPr>
            <w:tcW w:type="dxa" w:w="1662"/>
            <w:vAlign w:val="top"/>
          </w:tcPr>
          <w:p>
            <w:r/>
            <w:r>
              <w:rPr>
                <w:rFonts w:ascii="Calibri" w:hAnsi="Calibri"/>
                <w:b w:val="0"/>
                <w:i w:val="0"/>
                <w:color w:val="000000"/>
                <w:sz w:val="18"/>
              </w:rPr>
              <w:t>CRITICAL</w:t>
            </w:r>
          </w:p>
        </w:tc>
        <w:tc>
          <w:tcPr>
            <w:tcW w:type="dxa" w:w="1662"/>
            <w:vAlign w:val="top"/>
          </w:tcPr>
          <w:p>
            <w:r/>
            <w:r>
              <w:rPr>
                <w:rFonts w:ascii="Calibri" w:hAnsi="Calibri"/>
                <w:b w:val="0"/>
                <w:i w:val="0"/>
                <w:color w:val="000000"/>
                <w:sz w:val="18"/>
              </w:rPr>
              <w:t>Shared SlidingWindowConversationManager — race condition</w:t>
            </w:r>
          </w:p>
        </w:tc>
        <w:tc>
          <w:tcPr>
            <w:tcW w:type="dxa" w:w="1662"/>
            <w:vAlign w:val="top"/>
          </w:tcPr>
          <w:p>
            <w:r/>
            <w:r>
              <w:rPr>
                <w:rFonts w:ascii="Calibri" w:hAnsi="Calibri"/>
                <w:b w:val="0"/>
                <w:i w:val="0"/>
                <w:color w:val="000000"/>
                <w:sz w:val="18"/>
              </w:rPr>
              <w:t>Single manager shared across agent instances corrupts concurrent sessions.</w:t>
            </w:r>
          </w:p>
        </w:tc>
        <w:tc>
          <w:tcPr>
            <w:tcW w:type="dxa" w:w="1662"/>
            <w:vAlign w:val="top"/>
          </w:tcPr>
          <w:p>
            <w:r/>
            <w:r>
              <w:rPr>
                <w:rFonts w:ascii="Calibri" w:hAnsi="Calibri"/>
                <w:b w:val="0"/>
                <w:i w:val="0"/>
                <w:color w:val="000000"/>
                <w:sz w:val="18"/>
              </w:rPr>
              <w:t>Instantiate the manager per conversation, not per service.</w:t>
            </w:r>
          </w:p>
        </w:tc>
        <w:tc>
          <w:tcPr>
            <w:tcW w:type="dxa" w:w="1662"/>
            <w:vAlign w:val="top"/>
          </w:tcPr>
          <w:p>
            <w:r/>
            <w:r>
              <w:rPr>
                <w:rFonts w:ascii="Calibri" w:hAnsi="Calibri"/>
                <w:b w:val="0"/>
                <w:i w:val="0"/>
                <w:color w:val="000000"/>
                <w:sz w:val="18"/>
              </w:rPr>
              <w:t>1 day</w:t>
            </w:r>
          </w:p>
        </w:tc>
      </w:tr>
      <w:tr>
        <w:tc>
          <w:tcPr>
            <w:tcW w:type="dxa" w:w="1662"/>
            <w:vAlign w:val="top"/>
          </w:tcPr>
          <w:p>
            <w:r/>
            <w:r>
              <w:rPr>
                <w:rFonts w:ascii="Calibri" w:hAnsi="Calibri"/>
                <w:b w:val="0"/>
                <w:i w:val="0"/>
                <w:color w:val="000000"/>
                <w:sz w:val="18"/>
              </w:rPr>
              <w:t>AGT-02</w:t>
            </w:r>
          </w:p>
        </w:tc>
        <w:tc>
          <w:tcPr>
            <w:tcW w:type="dxa" w:w="1662"/>
            <w:vAlign w:val="top"/>
          </w:tcPr>
          <w:p>
            <w:r/>
            <w:r>
              <w:rPr>
                <w:rFonts w:ascii="Calibri" w:hAnsi="Calibri"/>
                <w:b w:val="0"/>
                <w:i w:val="0"/>
                <w:color w:val="000000"/>
                <w:sz w:val="18"/>
              </w:rPr>
              <w:t>HIGH</w:t>
            </w:r>
          </w:p>
        </w:tc>
        <w:tc>
          <w:tcPr>
            <w:tcW w:type="dxa" w:w="1662"/>
            <w:vAlign w:val="top"/>
          </w:tcPr>
          <w:p>
            <w:r/>
            <w:r>
              <w:rPr>
                <w:rFonts w:ascii="Calibri" w:hAnsi="Calibri"/>
                <w:b w:val="0"/>
                <w:i w:val="0"/>
                <w:color w:val="000000"/>
                <w:sz w:val="18"/>
              </w:rPr>
              <w:t>Unbounded ReAct loop</w:t>
            </w:r>
          </w:p>
        </w:tc>
        <w:tc>
          <w:tcPr>
            <w:tcW w:type="dxa" w:w="1662"/>
            <w:vAlign w:val="top"/>
          </w:tcPr>
          <w:p>
            <w:r/>
            <w:r>
              <w:rPr>
                <w:rFonts w:ascii="Calibri" w:hAnsi="Calibri"/>
                <w:b w:val="0"/>
                <w:i w:val="0"/>
                <w:color w:val="000000"/>
                <w:sz w:val="18"/>
              </w:rPr>
              <w:t>No max_iterations on agent; can cycle indefinitely on tool calls.</w:t>
            </w:r>
          </w:p>
        </w:tc>
        <w:tc>
          <w:tcPr>
            <w:tcW w:type="dxa" w:w="1662"/>
            <w:vAlign w:val="top"/>
          </w:tcPr>
          <w:p>
            <w:r/>
            <w:r>
              <w:rPr>
                <w:rFonts w:ascii="Calibri" w:hAnsi="Calibri"/>
                <w:b w:val="0"/>
                <w:i w:val="0"/>
                <w:color w:val="000000"/>
                <w:sz w:val="18"/>
              </w:rPr>
              <w:t>Set max_iterations=25 in Agent constructor.</w:t>
            </w:r>
          </w:p>
        </w:tc>
        <w:tc>
          <w:tcPr>
            <w:tcW w:type="dxa" w:w="1662"/>
            <w:vAlign w:val="top"/>
          </w:tcPr>
          <w:p>
            <w:r/>
            <w:r>
              <w:rPr>
                <w:rFonts w:ascii="Calibri" w:hAnsi="Calibri"/>
                <w:b w:val="0"/>
                <w:i w:val="0"/>
                <w:color w:val="000000"/>
                <w:sz w:val="18"/>
              </w:rPr>
              <w:t>0.5 day</w:t>
            </w:r>
          </w:p>
        </w:tc>
      </w:tr>
      <w:tr>
        <w:tc>
          <w:tcPr>
            <w:tcW w:type="dxa" w:w="1662"/>
            <w:vAlign w:val="top"/>
          </w:tcPr>
          <w:p>
            <w:r/>
            <w:r>
              <w:rPr>
                <w:rFonts w:ascii="Calibri" w:hAnsi="Calibri"/>
                <w:b w:val="0"/>
                <w:i w:val="0"/>
                <w:color w:val="000000"/>
                <w:sz w:val="18"/>
              </w:rPr>
              <w:t>AGT-03</w:t>
            </w:r>
          </w:p>
        </w:tc>
        <w:tc>
          <w:tcPr>
            <w:tcW w:type="dxa" w:w="1662"/>
            <w:vAlign w:val="top"/>
          </w:tcPr>
          <w:p>
            <w:r/>
            <w:r>
              <w:rPr>
                <w:rFonts w:ascii="Calibri" w:hAnsi="Calibri"/>
                <w:b w:val="0"/>
                <w:i w:val="0"/>
                <w:color w:val="000000"/>
                <w:sz w:val="18"/>
              </w:rPr>
              <w:t>HIGH</w:t>
            </w:r>
          </w:p>
        </w:tc>
        <w:tc>
          <w:tcPr>
            <w:tcW w:type="dxa" w:w="1662"/>
            <w:vAlign w:val="top"/>
          </w:tcPr>
          <w:p>
            <w:r/>
            <w:r>
              <w:rPr>
                <w:rFonts w:ascii="Calibri" w:hAnsi="Calibri"/>
                <w:b w:val="0"/>
                <w:i w:val="0"/>
                <w:color w:val="000000"/>
                <w:sz w:val="18"/>
              </w:rPr>
              <w:t>No agent execution timeout</w:t>
            </w:r>
          </w:p>
        </w:tc>
        <w:tc>
          <w:tcPr>
            <w:tcW w:type="dxa" w:w="1662"/>
            <w:vAlign w:val="top"/>
          </w:tcPr>
          <w:p>
            <w:r/>
            <w:r>
              <w:rPr>
                <w:rFonts w:ascii="Calibri" w:hAnsi="Calibri"/>
                <w:b w:val="0"/>
                <w:i w:val="0"/>
                <w:color w:val="000000"/>
                <w:sz w:val="18"/>
              </w:rPr>
              <w:t>Streaming connections held until client times out (~120s).</w:t>
            </w:r>
          </w:p>
        </w:tc>
        <w:tc>
          <w:tcPr>
            <w:tcW w:type="dxa" w:w="1662"/>
            <w:vAlign w:val="top"/>
          </w:tcPr>
          <w:p>
            <w:r/>
            <w:r>
              <w:rPr>
                <w:rFonts w:ascii="Calibri" w:hAnsi="Calibri"/>
                <w:b w:val="0"/>
                <w:i w:val="0"/>
                <w:color w:val="000000"/>
                <w:sz w:val="18"/>
              </w:rPr>
              <w:t>Wrap stream_async() in asyncio.wait_for(timeout=300).</w:t>
            </w:r>
          </w:p>
        </w:tc>
        <w:tc>
          <w:tcPr>
            <w:tcW w:type="dxa" w:w="1662"/>
            <w:vAlign w:val="top"/>
          </w:tcPr>
          <w:p>
            <w:r/>
            <w:r>
              <w:rPr>
                <w:rFonts w:ascii="Calibri" w:hAnsi="Calibri"/>
                <w:b w:val="0"/>
                <w:i w:val="0"/>
                <w:color w:val="000000"/>
                <w:sz w:val="18"/>
              </w:rPr>
              <w:t>0.5 day</w:t>
            </w:r>
          </w:p>
        </w:tc>
      </w:tr>
      <w:tr>
        <w:tc>
          <w:tcPr>
            <w:tcW w:type="dxa" w:w="1662"/>
            <w:vAlign w:val="top"/>
          </w:tcPr>
          <w:p>
            <w:r/>
            <w:r>
              <w:rPr>
                <w:rFonts w:ascii="Calibri" w:hAnsi="Calibri"/>
                <w:b w:val="0"/>
                <w:i w:val="0"/>
                <w:color w:val="000000"/>
                <w:sz w:val="18"/>
              </w:rPr>
              <w:t>AGT-04</w:t>
            </w:r>
          </w:p>
        </w:tc>
        <w:tc>
          <w:tcPr>
            <w:tcW w:type="dxa" w:w="1662"/>
            <w:vAlign w:val="top"/>
          </w:tcPr>
          <w:p>
            <w:r/>
            <w:r>
              <w:rPr>
                <w:rFonts w:ascii="Calibri" w:hAnsi="Calibri"/>
                <w:b w:val="0"/>
                <w:i w:val="0"/>
                <w:color w:val="000000"/>
                <w:sz w:val="18"/>
              </w:rPr>
              <w:t>HIGH</w:t>
            </w:r>
          </w:p>
        </w:tc>
        <w:tc>
          <w:tcPr>
            <w:tcW w:type="dxa" w:w="1662"/>
            <w:vAlign w:val="top"/>
          </w:tcPr>
          <w:p>
            <w:r/>
            <w:r>
              <w:rPr>
                <w:rFonts w:ascii="Calibri" w:hAnsi="Calibri"/>
                <w:b w:val="0"/>
                <w:i w:val="0"/>
                <w:color w:val="000000"/>
                <w:sz w:val="18"/>
              </w:rPr>
              <w:t>Anthropic LLM client timeout not configured</w:t>
            </w:r>
          </w:p>
        </w:tc>
        <w:tc>
          <w:tcPr>
            <w:tcW w:type="dxa" w:w="1662"/>
            <w:vAlign w:val="top"/>
          </w:tcPr>
          <w:p>
            <w:r/>
            <w:r>
              <w:rPr>
                <w:rFonts w:ascii="Calibri" w:hAnsi="Calibri"/>
                <w:b w:val="0"/>
                <w:i w:val="0"/>
                <w:color w:val="000000"/>
                <w:sz w:val="18"/>
              </w:rPr>
              <w:t>OpenAI client has 60s timeout; Anthropic has none.</w:t>
            </w:r>
          </w:p>
        </w:tc>
        <w:tc>
          <w:tcPr>
            <w:tcW w:type="dxa" w:w="1662"/>
            <w:vAlign w:val="top"/>
          </w:tcPr>
          <w:p>
            <w:r/>
            <w:r>
              <w:rPr>
                <w:rFonts w:ascii="Calibri" w:hAnsi="Calibri"/>
                <w:b w:val="0"/>
                <w:i w:val="0"/>
                <w:color w:val="000000"/>
                <w:sz w:val="18"/>
              </w:rPr>
              <w:t>Pass timeout=60.0 to the Anthropic model configuration.</w:t>
            </w:r>
          </w:p>
        </w:tc>
        <w:tc>
          <w:tcPr>
            <w:tcW w:type="dxa" w:w="1662"/>
            <w:vAlign w:val="top"/>
          </w:tcPr>
          <w:p>
            <w:r/>
            <w:r>
              <w:rPr>
                <w:rFonts w:ascii="Calibri" w:hAnsi="Calibri"/>
                <w:b w:val="0"/>
                <w:i w:val="0"/>
                <w:color w:val="000000"/>
                <w:sz w:val="18"/>
              </w:rPr>
              <w:t>0.5 day</w:t>
            </w:r>
          </w:p>
        </w:tc>
      </w:tr>
      <w:tr>
        <w:tc>
          <w:tcPr>
            <w:tcW w:type="dxa" w:w="1662"/>
            <w:vAlign w:val="top"/>
          </w:tcPr>
          <w:p>
            <w:r/>
            <w:r>
              <w:rPr>
                <w:rFonts w:ascii="Calibri" w:hAnsi="Calibri"/>
                <w:b w:val="0"/>
                <w:i w:val="0"/>
                <w:color w:val="000000"/>
                <w:sz w:val="18"/>
              </w:rPr>
              <w:t>AGT-05</w:t>
            </w:r>
          </w:p>
        </w:tc>
        <w:tc>
          <w:tcPr>
            <w:tcW w:type="dxa" w:w="1662"/>
            <w:vAlign w:val="top"/>
          </w:tcPr>
          <w:p>
            <w:r/>
            <w:r>
              <w:rPr>
                <w:rFonts w:ascii="Calibri" w:hAnsi="Calibri"/>
                <w:b w:val="0"/>
                <w:i w:val="0"/>
                <w:color w:val="000000"/>
                <w:sz w:val="18"/>
              </w:rPr>
              <w:t>HIGH</w:t>
            </w:r>
          </w:p>
        </w:tc>
        <w:tc>
          <w:tcPr>
            <w:tcW w:type="dxa" w:w="1662"/>
            <w:vAlign w:val="top"/>
          </w:tcPr>
          <w:p>
            <w:r/>
            <w:r>
              <w:rPr>
                <w:rFonts w:ascii="Calibri" w:hAnsi="Calibri"/>
                <w:b w:val="0"/>
                <w:i w:val="0"/>
                <w:color w:val="000000"/>
                <w:sz w:val="18"/>
              </w:rPr>
              <w:t>python_repl tool always loaded</w:t>
            </w:r>
          </w:p>
        </w:tc>
        <w:tc>
          <w:tcPr>
            <w:tcW w:type="dxa" w:w="1662"/>
            <w:vAlign w:val="top"/>
          </w:tcPr>
          <w:p>
            <w:r/>
            <w:r>
              <w:rPr>
                <w:rFonts w:ascii="Calibri" w:hAnsi="Calibri"/>
                <w:b w:val="0"/>
                <w:i w:val="0"/>
                <w:color w:val="000000"/>
                <w:sz w:val="18"/>
              </w:rPr>
              <w:t>LLM has access to arbitrary code execution by default.</w:t>
            </w:r>
          </w:p>
        </w:tc>
        <w:tc>
          <w:tcPr>
            <w:tcW w:type="dxa" w:w="1662"/>
            <w:vAlign w:val="top"/>
          </w:tcPr>
          <w:p>
            <w:r/>
            <w:r>
              <w:rPr>
                <w:rFonts w:ascii="Calibri" w:hAnsi="Calibri"/>
                <w:b w:val="0"/>
                <w:i w:val="0"/>
                <w:color w:val="000000"/>
                <w:sz w:val="18"/>
              </w:rPr>
              <w:t>Make python_repl opt-in; disable in production.</w:t>
            </w:r>
          </w:p>
        </w:tc>
        <w:tc>
          <w:tcPr>
            <w:tcW w:type="dxa" w:w="1662"/>
            <w:vAlign w:val="top"/>
          </w:tcPr>
          <w:p>
            <w:r/>
            <w:r>
              <w:rPr>
                <w:rFonts w:ascii="Calibri" w:hAnsi="Calibri"/>
                <w:b w:val="0"/>
                <w:i w:val="0"/>
                <w:color w:val="000000"/>
                <w:sz w:val="18"/>
              </w:rPr>
              <w:t>0.5 day</w:t>
            </w:r>
          </w:p>
        </w:tc>
      </w:tr>
      <w:tr>
        <w:tc>
          <w:tcPr>
            <w:tcW w:type="dxa" w:w="1662"/>
            <w:vAlign w:val="top"/>
          </w:tcPr>
          <w:p>
            <w:r/>
            <w:r>
              <w:rPr>
                <w:rFonts w:ascii="Calibri" w:hAnsi="Calibri"/>
                <w:b w:val="0"/>
                <w:i w:val="0"/>
                <w:color w:val="000000"/>
                <w:sz w:val="18"/>
              </w:rPr>
              <w:t>SEC-02</w:t>
            </w:r>
          </w:p>
        </w:tc>
        <w:tc>
          <w:tcPr>
            <w:tcW w:type="dxa" w:w="1662"/>
            <w:vAlign w:val="top"/>
          </w:tcPr>
          <w:p>
            <w:r/>
            <w:r>
              <w:rPr>
                <w:rFonts w:ascii="Calibri" w:hAnsi="Calibri"/>
                <w:b w:val="0"/>
                <w:i w:val="0"/>
                <w:color w:val="000000"/>
                <w:sz w:val="18"/>
              </w:rPr>
              <w:t>HIGH</w:t>
            </w:r>
          </w:p>
        </w:tc>
        <w:tc>
          <w:tcPr>
            <w:tcW w:type="dxa" w:w="1662"/>
            <w:vAlign w:val="top"/>
          </w:tcPr>
          <w:p>
            <w:r/>
            <w:r>
              <w:rPr>
                <w:rFonts w:ascii="Calibri" w:hAnsi="Calibri"/>
                <w:b w:val="0"/>
                <w:i w:val="0"/>
                <w:color w:val="000000"/>
                <w:sz w:val="18"/>
              </w:rPr>
              <w:t>Allowlist raises generic Exception</w:t>
            </w:r>
          </w:p>
        </w:tc>
        <w:tc>
          <w:tcPr>
            <w:tcW w:type="dxa" w:w="1662"/>
            <w:vAlign w:val="top"/>
          </w:tcPr>
          <w:p>
            <w:r/>
            <w:r>
              <w:rPr>
                <w:rFonts w:ascii="Calibri" w:hAnsi="Calibri"/>
                <w:b w:val="0"/>
                <w:i w:val="0"/>
                <w:color w:val="000000"/>
                <w:sz w:val="18"/>
              </w:rPr>
              <w:t>Causes HTTP 500 instead of 403; leaks stack to clients.</w:t>
            </w:r>
          </w:p>
        </w:tc>
        <w:tc>
          <w:tcPr>
            <w:tcW w:type="dxa" w:w="1662"/>
            <w:vAlign w:val="top"/>
          </w:tcPr>
          <w:p>
            <w:r/>
            <w:r>
              <w:rPr>
                <w:rFonts w:ascii="Calibri" w:hAnsi="Calibri"/>
                <w:b w:val="0"/>
                <w:i w:val="0"/>
                <w:color w:val="000000"/>
                <w:sz w:val="18"/>
              </w:rPr>
              <w:t>Raise HTTPException(status_code=403, detail='Access denied').</w:t>
            </w:r>
          </w:p>
        </w:tc>
        <w:tc>
          <w:tcPr>
            <w:tcW w:type="dxa" w:w="1662"/>
            <w:vAlign w:val="top"/>
          </w:tcPr>
          <w:p>
            <w:r/>
            <w:r>
              <w:rPr>
                <w:rFonts w:ascii="Calibri" w:hAnsi="Calibri"/>
                <w:b w:val="0"/>
                <w:i w:val="0"/>
                <w:color w:val="000000"/>
                <w:sz w:val="18"/>
              </w:rPr>
              <w:t>0.5 day</w:t>
            </w:r>
          </w:p>
        </w:tc>
      </w:tr>
      <w:tr>
        <w:tc>
          <w:tcPr>
            <w:tcW w:type="dxa" w:w="1662"/>
            <w:vAlign w:val="top"/>
          </w:tcPr>
          <w:p>
            <w:r/>
            <w:r>
              <w:rPr>
                <w:rFonts w:ascii="Calibri" w:hAnsi="Calibri"/>
                <w:b w:val="0"/>
                <w:i w:val="0"/>
                <w:color w:val="000000"/>
                <w:sz w:val="18"/>
              </w:rPr>
              <w:t>SEC-03</w:t>
            </w:r>
          </w:p>
        </w:tc>
        <w:tc>
          <w:tcPr>
            <w:tcW w:type="dxa" w:w="1662"/>
            <w:vAlign w:val="top"/>
          </w:tcPr>
          <w:p>
            <w:r/>
            <w:r>
              <w:rPr>
                <w:rFonts w:ascii="Calibri" w:hAnsi="Calibri"/>
                <w:b w:val="0"/>
                <w:i w:val="0"/>
                <w:color w:val="000000"/>
                <w:sz w:val="18"/>
              </w:rPr>
              <w:t>HIGH</w:t>
            </w:r>
          </w:p>
        </w:tc>
        <w:tc>
          <w:tcPr>
            <w:tcW w:type="dxa" w:w="1662"/>
            <w:vAlign w:val="top"/>
          </w:tcPr>
          <w:p>
            <w:r/>
            <w:r>
              <w:rPr>
                <w:rFonts w:ascii="Calibri" w:hAnsi="Calibri"/>
                <w:b w:val="0"/>
                <w:i w:val="0"/>
                <w:color w:val="000000"/>
                <w:sz w:val="18"/>
              </w:rPr>
              <w:t>No rate limiting on any endpoint</w:t>
            </w:r>
          </w:p>
        </w:tc>
        <w:tc>
          <w:tcPr>
            <w:tcW w:type="dxa" w:w="1662"/>
            <w:vAlign w:val="top"/>
          </w:tcPr>
          <w:p>
            <w:r/>
            <w:r>
              <w:rPr>
                <w:rFonts w:ascii="Calibri" w:hAnsi="Calibri"/>
                <w:b w:val="0"/>
                <w:i w:val="0"/>
                <w:color w:val="000000"/>
                <w:sz w:val="18"/>
              </w:rPr>
              <w:t>Unlimited concurrent requests; DoS / cost exposure.</w:t>
            </w:r>
          </w:p>
        </w:tc>
        <w:tc>
          <w:tcPr>
            <w:tcW w:type="dxa" w:w="1662"/>
            <w:vAlign w:val="top"/>
          </w:tcPr>
          <w:p>
            <w:r/>
            <w:r>
              <w:rPr>
                <w:rFonts w:ascii="Calibri" w:hAnsi="Calibri"/>
                <w:b w:val="0"/>
                <w:i w:val="0"/>
                <w:color w:val="000000"/>
                <w:sz w:val="18"/>
              </w:rPr>
              <w:t>Add slowapi: 100 req/min per IP; 10 sessions per user.</w:t>
            </w:r>
          </w:p>
        </w:tc>
        <w:tc>
          <w:tcPr>
            <w:tcW w:type="dxa" w:w="1662"/>
            <w:vAlign w:val="top"/>
          </w:tcPr>
          <w:p>
            <w:r/>
            <w:r>
              <w:rPr>
                <w:rFonts w:ascii="Calibri" w:hAnsi="Calibri"/>
                <w:b w:val="0"/>
                <w:i w:val="0"/>
                <w:color w:val="000000"/>
                <w:sz w:val="18"/>
              </w:rPr>
              <w:t>2 days</w:t>
            </w:r>
          </w:p>
        </w:tc>
      </w:tr>
      <w:tr>
        <w:tc>
          <w:tcPr>
            <w:tcW w:type="dxa" w:w="1662"/>
            <w:vAlign w:val="top"/>
          </w:tcPr>
          <w:p>
            <w:r/>
            <w:r>
              <w:rPr>
                <w:rFonts w:ascii="Calibri" w:hAnsi="Calibri"/>
                <w:b w:val="0"/>
                <w:i w:val="0"/>
                <w:color w:val="000000"/>
                <w:sz w:val="18"/>
              </w:rPr>
              <w:t>DB-01</w:t>
            </w:r>
          </w:p>
        </w:tc>
        <w:tc>
          <w:tcPr>
            <w:tcW w:type="dxa" w:w="1662"/>
            <w:vAlign w:val="top"/>
          </w:tcPr>
          <w:p>
            <w:r/>
            <w:r>
              <w:rPr>
                <w:rFonts w:ascii="Calibri" w:hAnsi="Calibri"/>
                <w:b w:val="0"/>
                <w:i w:val="0"/>
                <w:color w:val="000000"/>
                <w:sz w:val="18"/>
              </w:rPr>
              <w:t>HIGH</w:t>
            </w:r>
          </w:p>
        </w:tc>
        <w:tc>
          <w:tcPr>
            <w:tcW w:type="dxa" w:w="1662"/>
            <w:vAlign w:val="top"/>
          </w:tcPr>
          <w:p>
            <w:r/>
            <w:r>
              <w:rPr>
                <w:rFonts w:ascii="Calibri" w:hAnsi="Calibri"/>
                <w:b w:val="0"/>
                <w:i w:val="0"/>
                <w:color w:val="000000"/>
                <w:sz w:val="18"/>
              </w:rPr>
              <w:t>No Neo4j query timeout</w:t>
            </w:r>
          </w:p>
        </w:tc>
        <w:tc>
          <w:tcPr>
            <w:tcW w:type="dxa" w:w="1662"/>
            <w:vAlign w:val="top"/>
          </w:tcPr>
          <w:p>
            <w:r/>
            <w:r>
              <w:rPr>
                <w:rFonts w:ascii="Calibri" w:hAnsi="Calibri"/>
                <w:b w:val="0"/>
                <w:i w:val="0"/>
                <w:color w:val="000000"/>
                <w:sz w:val="18"/>
              </w:rPr>
              <w:t>Driver initialised without socket_keepalive or transaction timeout.</w:t>
            </w:r>
          </w:p>
        </w:tc>
        <w:tc>
          <w:tcPr>
            <w:tcW w:type="dxa" w:w="1662"/>
            <w:vAlign w:val="top"/>
          </w:tcPr>
          <w:p>
            <w:r/>
            <w:r>
              <w:rPr>
                <w:rFonts w:ascii="Calibri" w:hAnsi="Calibri"/>
                <w:b w:val="0"/>
                <w:i w:val="0"/>
                <w:color w:val="000000"/>
                <w:sz w:val="18"/>
              </w:rPr>
              <w:t>Set connection_timeout=30 and max_transaction_retry_time=30.</w:t>
            </w:r>
          </w:p>
        </w:tc>
        <w:tc>
          <w:tcPr>
            <w:tcW w:type="dxa" w:w="1662"/>
            <w:vAlign w:val="top"/>
          </w:tcPr>
          <w:p>
            <w:r/>
            <w:r>
              <w:rPr>
                <w:rFonts w:ascii="Calibri" w:hAnsi="Calibri"/>
                <w:b w:val="0"/>
                <w:i w:val="0"/>
                <w:color w:val="000000"/>
                <w:sz w:val="18"/>
              </w:rPr>
              <w:t>1 day</w:t>
            </w:r>
          </w:p>
        </w:tc>
      </w:tr>
      <w:tr>
        <w:tc>
          <w:tcPr>
            <w:tcW w:type="dxa" w:w="1662"/>
            <w:vAlign w:val="top"/>
          </w:tcPr>
          <w:p>
            <w:r/>
            <w:r>
              <w:rPr>
                <w:rFonts w:ascii="Calibri" w:hAnsi="Calibri"/>
                <w:b w:val="0"/>
                <w:i w:val="0"/>
                <w:color w:val="000000"/>
                <w:sz w:val="18"/>
              </w:rPr>
              <w:t>OBS-01</w:t>
            </w:r>
          </w:p>
        </w:tc>
        <w:tc>
          <w:tcPr>
            <w:tcW w:type="dxa" w:w="1662"/>
            <w:vAlign w:val="top"/>
          </w:tcPr>
          <w:p>
            <w:r/>
            <w:r>
              <w:rPr>
                <w:rFonts w:ascii="Calibri" w:hAnsi="Calibri"/>
                <w:b w:val="0"/>
                <w:i w:val="0"/>
                <w:color w:val="000000"/>
                <w:sz w:val="18"/>
              </w:rPr>
              <w:t>HIGH</w:t>
            </w:r>
          </w:p>
        </w:tc>
        <w:tc>
          <w:tcPr>
            <w:tcW w:type="dxa" w:w="1662"/>
            <w:vAlign w:val="top"/>
          </w:tcPr>
          <w:p>
            <w:r/>
            <w:r>
              <w:rPr>
                <w:rFonts w:ascii="Calibri" w:hAnsi="Calibri"/>
                <w:b w:val="0"/>
                <w:i w:val="0"/>
                <w:color w:val="000000"/>
                <w:sz w:val="18"/>
              </w:rPr>
              <w:t>No structured JSON logging</w:t>
            </w:r>
          </w:p>
        </w:tc>
        <w:tc>
          <w:tcPr>
            <w:tcW w:type="dxa" w:w="1662"/>
            <w:vAlign w:val="top"/>
          </w:tcPr>
          <w:p>
            <w:r/>
            <w:r>
              <w:rPr>
                <w:rFonts w:ascii="Calibri" w:hAnsi="Calibri"/>
                <w:b w:val="0"/>
                <w:i w:val="0"/>
                <w:color w:val="000000"/>
                <w:sz w:val="18"/>
              </w:rPr>
              <w:t>Plain-text logging incompatible with CloudWatch Logs Insights.</w:t>
            </w:r>
          </w:p>
        </w:tc>
        <w:tc>
          <w:tcPr>
            <w:tcW w:type="dxa" w:w="1662"/>
            <w:vAlign w:val="top"/>
          </w:tcPr>
          <w:p>
            <w:r/>
            <w:r>
              <w:rPr>
                <w:rFonts w:ascii="Calibri" w:hAnsi="Calibri"/>
                <w:b w:val="0"/>
                <w:i w:val="0"/>
                <w:color w:val="000000"/>
                <w:sz w:val="18"/>
              </w:rPr>
              <w:t>Adopt python-json-logger across all services.</w:t>
            </w:r>
          </w:p>
        </w:tc>
        <w:tc>
          <w:tcPr>
            <w:tcW w:type="dxa" w:w="1662"/>
            <w:vAlign w:val="top"/>
          </w:tcPr>
          <w:p>
            <w:r/>
            <w:r>
              <w:rPr>
                <w:rFonts w:ascii="Calibri" w:hAnsi="Calibri"/>
                <w:b w:val="0"/>
                <w:i w:val="0"/>
                <w:color w:val="000000"/>
                <w:sz w:val="18"/>
              </w:rPr>
              <w:t>2 days</w:t>
            </w:r>
          </w:p>
        </w:tc>
      </w:tr>
      <w:tr>
        <w:tc>
          <w:tcPr>
            <w:tcW w:type="dxa" w:w="1662"/>
            <w:vAlign w:val="top"/>
          </w:tcPr>
          <w:p>
            <w:r/>
            <w:r>
              <w:rPr>
                <w:rFonts w:ascii="Calibri" w:hAnsi="Calibri"/>
                <w:b w:val="0"/>
                <w:i w:val="0"/>
                <w:color w:val="000000"/>
                <w:sz w:val="18"/>
              </w:rPr>
              <w:t>OBS-02</w:t>
            </w:r>
          </w:p>
        </w:tc>
        <w:tc>
          <w:tcPr>
            <w:tcW w:type="dxa" w:w="1662"/>
            <w:vAlign w:val="top"/>
          </w:tcPr>
          <w:p>
            <w:r/>
            <w:r>
              <w:rPr>
                <w:rFonts w:ascii="Calibri" w:hAnsi="Calibri"/>
                <w:b w:val="0"/>
                <w:i w:val="0"/>
                <w:color w:val="000000"/>
                <w:sz w:val="18"/>
              </w:rPr>
              <w:t>HIGH</w:t>
            </w:r>
          </w:p>
        </w:tc>
        <w:tc>
          <w:tcPr>
            <w:tcW w:type="dxa" w:w="1662"/>
            <w:vAlign w:val="top"/>
          </w:tcPr>
          <w:p>
            <w:r/>
            <w:r>
              <w:rPr>
                <w:rFonts w:ascii="Calibri" w:hAnsi="Calibri"/>
                <w:b w:val="0"/>
                <w:i w:val="0"/>
                <w:color w:val="000000"/>
                <w:sz w:val="18"/>
              </w:rPr>
              <w:t>No metrics export</w:t>
            </w:r>
          </w:p>
        </w:tc>
        <w:tc>
          <w:tcPr>
            <w:tcW w:type="dxa" w:w="1662"/>
            <w:vAlign w:val="top"/>
          </w:tcPr>
          <w:p>
            <w:r/>
            <w:r>
              <w:rPr>
                <w:rFonts w:ascii="Calibri" w:hAnsi="Calibri"/>
                <w:b w:val="0"/>
                <w:i w:val="0"/>
                <w:color w:val="000000"/>
                <w:sz w:val="18"/>
              </w:rPr>
              <w:t>No Prometheus or CloudWatch metrics for application signals.</w:t>
            </w:r>
          </w:p>
        </w:tc>
        <w:tc>
          <w:tcPr>
            <w:tcW w:type="dxa" w:w="1662"/>
            <w:vAlign w:val="top"/>
          </w:tcPr>
          <w:p>
            <w:r/>
            <w:r>
              <w:rPr>
                <w:rFonts w:ascii="Calibri" w:hAnsi="Calibri"/>
                <w:b w:val="0"/>
                <w:i w:val="0"/>
                <w:color w:val="000000"/>
                <w:sz w:val="18"/>
              </w:rPr>
              <w:t>Add Prometheus client + scrape config; or CloudWatch EMF.</w:t>
            </w:r>
          </w:p>
        </w:tc>
        <w:tc>
          <w:tcPr>
            <w:tcW w:type="dxa" w:w="1662"/>
            <w:vAlign w:val="top"/>
          </w:tcPr>
          <w:p>
            <w:r/>
            <w:r>
              <w:rPr>
                <w:rFonts w:ascii="Calibri" w:hAnsi="Calibri"/>
                <w:b w:val="0"/>
                <w:i w:val="0"/>
                <w:color w:val="000000"/>
                <w:sz w:val="18"/>
              </w:rPr>
              <w:t>3 days</w:t>
            </w:r>
          </w:p>
        </w:tc>
      </w:tr>
      <w:tr>
        <w:tc>
          <w:tcPr>
            <w:tcW w:type="dxa" w:w="1662"/>
            <w:vAlign w:val="top"/>
          </w:tcPr>
          <w:p>
            <w:r/>
            <w:r>
              <w:rPr>
                <w:rFonts w:ascii="Calibri" w:hAnsi="Calibri"/>
                <w:b w:val="0"/>
                <w:i w:val="0"/>
                <w:color w:val="000000"/>
                <w:sz w:val="18"/>
              </w:rPr>
              <w:t>OBS-03</w:t>
            </w:r>
          </w:p>
        </w:tc>
        <w:tc>
          <w:tcPr>
            <w:tcW w:type="dxa" w:w="1662"/>
            <w:vAlign w:val="top"/>
          </w:tcPr>
          <w:p>
            <w:r/>
            <w:r>
              <w:rPr>
                <w:rFonts w:ascii="Calibri" w:hAnsi="Calibri"/>
                <w:b w:val="0"/>
                <w:i w:val="0"/>
                <w:color w:val="000000"/>
                <w:sz w:val="18"/>
              </w:rPr>
              <w:t>HIGH</w:t>
            </w:r>
          </w:p>
        </w:tc>
        <w:tc>
          <w:tcPr>
            <w:tcW w:type="dxa" w:w="1662"/>
            <w:vAlign w:val="top"/>
          </w:tcPr>
          <w:p>
            <w:r/>
            <w:r>
              <w:rPr>
                <w:rFonts w:ascii="Calibri" w:hAnsi="Calibri"/>
                <w:b w:val="0"/>
                <w:i w:val="0"/>
                <w:color w:val="000000"/>
                <w:sz w:val="18"/>
              </w:rPr>
              <w:t>No distributed tracing</w:t>
            </w:r>
          </w:p>
        </w:tc>
        <w:tc>
          <w:tcPr>
            <w:tcW w:type="dxa" w:w="1662"/>
            <w:vAlign w:val="top"/>
          </w:tcPr>
          <w:p>
            <w:r/>
            <w:r>
              <w:rPr>
                <w:rFonts w:ascii="Calibri" w:hAnsi="Calibri"/>
                <w:b w:val="0"/>
                <w:i w:val="0"/>
                <w:color w:val="000000"/>
                <w:sz w:val="18"/>
              </w:rPr>
              <w:t>No correlation across services; cross-service debugging is forensic.</w:t>
            </w:r>
          </w:p>
        </w:tc>
        <w:tc>
          <w:tcPr>
            <w:tcW w:type="dxa" w:w="1662"/>
            <w:vAlign w:val="top"/>
          </w:tcPr>
          <w:p>
            <w:r/>
            <w:r>
              <w:rPr>
                <w:rFonts w:ascii="Calibri" w:hAnsi="Calibri"/>
                <w:b w:val="0"/>
                <w:i w:val="0"/>
                <w:color w:val="000000"/>
                <w:sz w:val="18"/>
              </w:rPr>
              <w:t>Integrate OpenTelemetry SDK + AWS X-Ray exporter.</w:t>
            </w:r>
          </w:p>
        </w:tc>
        <w:tc>
          <w:tcPr>
            <w:tcW w:type="dxa" w:w="1662"/>
            <w:vAlign w:val="top"/>
          </w:tcPr>
          <w:p>
            <w:r/>
            <w:r>
              <w:rPr>
                <w:rFonts w:ascii="Calibri" w:hAnsi="Calibri"/>
                <w:b w:val="0"/>
                <w:i w:val="0"/>
                <w:color w:val="000000"/>
                <w:sz w:val="18"/>
              </w:rPr>
              <w:t>5 days</w:t>
            </w:r>
          </w:p>
        </w:tc>
      </w:tr>
      <w:tr>
        <w:tc>
          <w:tcPr>
            <w:tcW w:type="dxa" w:w="1662"/>
            <w:vAlign w:val="top"/>
          </w:tcPr>
          <w:p>
            <w:r/>
            <w:r>
              <w:rPr>
                <w:rFonts w:ascii="Calibri" w:hAnsi="Calibri"/>
                <w:b w:val="0"/>
                <w:i w:val="0"/>
                <w:color w:val="000000"/>
                <w:sz w:val="18"/>
              </w:rPr>
              <w:t>OBS-04</w:t>
            </w:r>
          </w:p>
        </w:tc>
        <w:tc>
          <w:tcPr>
            <w:tcW w:type="dxa" w:w="1662"/>
            <w:vAlign w:val="top"/>
          </w:tcPr>
          <w:p>
            <w:r/>
            <w:r>
              <w:rPr>
                <w:rFonts w:ascii="Calibri" w:hAnsi="Calibri"/>
                <w:b w:val="0"/>
                <w:i w:val="0"/>
                <w:color w:val="000000"/>
                <w:sz w:val="18"/>
              </w:rPr>
              <w:t>HIGH</w:t>
            </w:r>
          </w:p>
        </w:tc>
        <w:tc>
          <w:tcPr>
            <w:tcW w:type="dxa" w:w="1662"/>
            <w:vAlign w:val="top"/>
          </w:tcPr>
          <w:p>
            <w:r/>
            <w:r>
              <w:rPr>
                <w:rFonts w:ascii="Calibri" w:hAnsi="Calibri"/>
                <w:b w:val="0"/>
                <w:i w:val="0"/>
                <w:color w:val="000000"/>
                <w:sz w:val="18"/>
              </w:rPr>
              <w:t>Shallow /health endpoints</w:t>
            </w:r>
          </w:p>
        </w:tc>
        <w:tc>
          <w:tcPr>
            <w:tcW w:type="dxa" w:w="1662"/>
            <w:vAlign w:val="top"/>
          </w:tcPr>
          <w:p>
            <w:r/>
            <w:r>
              <w:rPr>
                <w:rFonts w:ascii="Calibri" w:hAnsi="Calibri"/>
                <w:b w:val="0"/>
                <w:i w:val="0"/>
                <w:color w:val="000000"/>
                <w:sz w:val="18"/>
              </w:rPr>
              <w:t>Returns OK without checking dependencies.</w:t>
            </w:r>
          </w:p>
        </w:tc>
        <w:tc>
          <w:tcPr>
            <w:tcW w:type="dxa" w:w="1662"/>
            <w:vAlign w:val="top"/>
          </w:tcPr>
          <w:p>
            <w:r/>
            <w:r>
              <w:rPr>
                <w:rFonts w:ascii="Calibri" w:hAnsi="Calibri"/>
                <w:b w:val="0"/>
                <w:i w:val="0"/>
                <w:color w:val="000000"/>
                <w:sz w:val="18"/>
              </w:rPr>
              <w:t>Add deep checks for Neo4j, MCP, LLM availability.</w:t>
            </w:r>
          </w:p>
        </w:tc>
        <w:tc>
          <w:tcPr>
            <w:tcW w:type="dxa" w:w="1662"/>
            <w:vAlign w:val="top"/>
          </w:tcPr>
          <w:p>
            <w:r/>
            <w:r>
              <w:rPr>
                <w:rFonts w:ascii="Calibri" w:hAnsi="Calibri"/>
                <w:b w:val="0"/>
                <w:i w:val="0"/>
                <w:color w:val="000000"/>
                <w:sz w:val="18"/>
              </w:rPr>
              <w:t>1 day</w:t>
            </w:r>
          </w:p>
        </w:tc>
      </w:tr>
      <w:tr>
        <w:tc>
          <w:tcPr>
            <w:tcW w:type="dxa" w:w="1662"/>
            <w:vAlign w:val="top"/>
          </w:tcPr>
          <w:p>
            <w:r/>
            <w:r>
              <w:rPr>
                <w:rFonts w:ascii="Calibri" w:hAnsi="Calibri"/>
                <w:b w:val="0"/>
                <w:i w:val="0"/>
                <w:color w:val="000000"/>
                <w:sz w:val="18"/>
              </w:rPr>
              <w:t>SEC-04</w:t>
            </w:r>
          </w:p>
        </w:tc>
        <w:tc>
          <w:tcPr>
            <w:tcW w:type="dxa" w:w="1662"/>
            <w:vAlign w:val="top"/>
          </w:tcPr>
          <w:p>
            <w:r/>
            <w:r>
              <w:rPr>
                <w:rFonts w:ascii="Calibri" w:hAnsi="Calibri"/>
                <w:b w:val="0"/>
                <w:i w:val="0"/>
                <w:color w:val="000000"/>
                <w:sz w:val="18"/>
              </w:rPr>
              <w:t>MEDIUM</w:t>
            </w:r>
          </w:p>
        </w:tc>
        <w:tc>
          <w:tcPr>
            <w:tcW w:type="dxa" w:w="1662"/>
            <w:vAlign w:val="top"/>
          </w:tcPr>
          <w:p>
            <w:r/>
            <w:r>
              <w:rPr>
                <w:rFonts w:ascii="Calibri" w:hAnsi="Calibri"/>
                <w:b w:val="0"/>
                <w:i w:val="0"/>
                <w:color w:val="000000"/>
                <w:sz w:val="18"/>
              </w:rPr>
              <w:t>No token revocation</w:t>
            </w:r>
          </w:p>
        </w:tc>
        <w:tc>
          <w:tcPr>
            <w:tcW w:type="dxa" w:w="1662"/>
            <w:vAlign w:val="top"/>
          </w:tcPr>
          <w:p>
            <w:r/>
            <w:r>
              <w:rPr>
                <w:rFonts w:ascii="Calibri" w:hAnsi="Calibri"/>
                <w:b w:val="0"/>
                <w:i w:val="0"/>
                <w:color w:val="000000"/>
                <w:sz w:val="18"/>
              </w:rPr>
              <w:t>No /logout; compromised JWT remains valid until exp.</w:t>
            </w:r>
          </w:p>
        </w:tc>
        <w:tc>
          <w:tcPr>
            <w:tcW w:type="dxa" w:w="1662"/>
            <w:vAlign w:val="top"/>
          </w:tcPr>
          <w:p>
            <w:r/>
            <w:r>
              <w:rPr>
                <w:rFonts w:ascii="Calibri" w:hAnsi="Calibri"/>
                <w:b w:val="0"/>
                <w:i w:val="0"/>
                <w:color w:val="000000"/>
                <w:sz w:val="18"/>
              </w:rPr>
              <w:t>Redis-backed denylist; expose /auth/logout endpoint.</w:t>
            </w:r>
          </w:p>
        </w:tc>
        <w:tc>
          <w:tcPr>
            <w:tcW w:type="dxa" w:w="1662"/>
            <w:vAlign w:val="top"/>
          </w:tcPr>
          <w:p>
            <w:r/>
            <w:r>
              <w:rPr>
                <w:rFonts w:ascii="Calibri" w:hAnsi="Calibri"/>
                <w:b w:val="0"/>
                <w:i w:val="0"/>
                <w:color w:val="000000"/>
                <w:sz w:val="18"/>
              </w:rPr>
              <w:t>3 days</w:t>
            </w:r>
          </w:p>
        </w:tc>
      </w:tr>
      <w:tr>
        <w:tc>
          <w:tcPr>
            <w:tcW w:type="dxa" w:w="1662"/>
            <w:vAlign w:val="top"/>
          </w:tcPr>
          <w:p>
            <w:r/>
            <w:r>
              <w:rPr>
                <w:rFonts w:ascii="Calibri" w:hAnsi="Calibri"/>
                <w:b w:val="0"/>
                <w:i w:val="0"/>
                <w:color w:val="000000"/>
                <w:sz w:val="18"/>
              </w:rPr>
              <w:t>SEC-05</w:t>
            </w:r>
          </w:p>
        </w:tc>
        <w:tc>
          <w:tcPr>
            <w:tcW w:type="dxa" w:w="1662"/>
            <w:vAlign w:val="top"/>
          </w:tcPr>
          <w:p>
            <w:r/>
            <w:r>
              <w:rPr>
                <w:rFonts w:ascii="Calibri" w:hAnsi="Calibri"/>
                <w:b w:val="0"/>
                <w:i w:val="0"/>
                <w:color w:val="000000"/>
                <w:sz w:val="18"/>
              </w:rPr>
              <w:t>MEDIUM</w:t>
            </w:r>
          </w:p>
        </w:tc>
        <w:tc>
          <w:tcPr>
            <w:tcW w:type="dxa" w:w="1662"/>
            <w:vAlign w:val="top"/>
          </w:tcPr>
          <w:p>
            <w:r/>
            <w:r>
              <w:rPr>
                <w:rFonts w:ascii="Calibri" w:hAnsi="Calibri"/>
                <w:b w:val="0"/>
                <w:i w:val="0"/>
                <w:color w:val="000000"/>
                <w:sz w:val="18"/>
              </w:rPr>
              <w:t>PII / PHI not filtered</w:t>
            </w:r>
          </w:p>
        </w:tc>
        <w:tc>
          <w:tcPr>
            <w:tcW w:type="dxa" w:w="1662"/>
            <w:vAlign w:val="top"/>
          </w:tcPr>
          <w:p>
            <w:r/>
            <w:r>
              <w:rPr>
                <w:rFonts w:ascii="Calibri" w:hAnsi="Calibri"/>
                <w:b w:val="0"/>
                <w:i w:val="0"/>
                <w:color w:val="000000"/>
                <w:sz w:val="18"/>
              </w:rPr>
              <w:t>No redaction in prompts or responses; regulatory risk.</w:t>
            </w:r>
          </w:p>
        </w:tc>
        <w:tc>
          <w:tcPr>
            <w:tcW w:type="dxa" w:w="1662"/>
            <w:vAlign w:val="top"/>
          </w:tcPr>
          <w:p>
            <w:r/>
            <w:r>
              <w:rPr>
                <w:rFonts w:ascii="Calibri" w:hAnsi="Calibri"/>
                <w:b w:val="0"/>
                <w:i w:val="0"/>
                <w:color w:val="000000"/>
                <w:sz w:val="18"/>
              </w:rPr>
              <w:t>AWS Comprehend PII detection middleware on prompts and responses.</w:t>
            </w:r>
          </w:p>
        </w:tc>
        <w:tc>
          <w:tcPr>
            <w:tcW w:type="dxa" w:w="1662"/>
            <w:vAlign w:val="top"/>
          </w:tcPr>
          <w:p>
            <w:r/>
            <w:r>
              <w:rPr>
                <w:rFonts w:ascii="Calibri" w:hAnsi="Calibri"/>
                <w:b w:val="0"/>
                <w:i w:val="0"/>
                <w:color w:val="000000"/>
                <w:sz w:val="18"/>
              </w:rPr>
              <w:t>5 days</w:t>
            </w:r>
          </w:p>
        </w:tc>
      </w:tr>
      <w:tr>
        <w:tc>
          <w:tcPr>
            <w:tcW w:type="dxa" w:w="1662"/>
            <w:vAlign w:val="top"/>
          </w:tcPr>
          <w:p>
            <w:r/>
            <w:r>
              <w:rPr>
                <w:rFonts w:ascii="Calibri" w:hAnsi="Calibri"/>
                <w:b w:val="0"/>
                <w:i w:val="0"/>
                <w:color w:val="000000"/>
                <w:sz w:val="18"/>
              </w:rPr>
              <w:t>DB-02</w:t>
            </w:r>
          </w:p>
        </w:tc>
        <w:tc>
          <w:tcPr>
            <w:tcW w:type="dxa" w:w="1662"/>
            <w:vAlign w:val="top"/>
          </w:tcPr>
          <w:p>
            <w:r/>
            <w:r>
              <w:rPr>
                <w:rFonts w:ascii="Calibri" w:hAnsi="Calibri"/>
                <w:b w:val="0"/>
                <w:i w:val="0"/>
                <w:color w:val="000000"/>
                <w:sz w:val="18"/>
              </w:rPr>
              <w:t>MEDIUM</w:t>
            </w:r>
          </w:p>
        </w:tc>
        <w:tc>
          <w:tcPr>
            <w:tcW w:type="dxa" w:w="1662"/>
            <w:vAlign w:val="top"/>
          </w:tcPr>
          <w:p>
            <w:r/>
            <w:r>
              <w:rPr>
                <w:rFonts w:ascii="Calibri" w:hAnsi="Calibri"/>
                <w:b w:val="0"/>
                <w:i w:val="0"/>
                <w:color w:val="000000"/>
                <w:sz w:val="18"/>
              </w:rPr>
              <w:t>No explicit Neo4j connection-pool sizing</w:t>
            </w:r>
          </w:p>
        </w:tc>
        <w:tc>
          <w:tcPr>
            <w:tcW w:type="dxa" w:w="1662"/>
            <w:vAlign w:val="top"/>
          </w:tcPr>
          <w:p>
            <w:r/>
            <w:r>
              <w:rPr>
                <w:rFonts w:ascii="Calibri" w:hAnsi="Calibri"/>
                <w:b w:val="0"/>
                <w:i w:val="0"/>
                <w:color w:val="000000"/>
                <w:sz w:val="18"/>
              </w:rPr>
              <w:t>Pool defaults limit concurrent throughput.</w:t>
            </w:r>
          </w:p>
        </w:tc>
        <w:tc>
          <w:tcPr>
            <w:tcW w:type="dxa" w:w="1662"/>
            <w:vAlign w:val="top"/>
          </w:tcPr>
          <w:p>
            <w:r/>
            <w:r>
              <w:rPr>
                <w:rFonts w:ascii="Calibri" w:hAnsi="Calibri"/>
                <w:b w:val="0"/>
                <w:i w:val="0"/>
                <w:color w:val="000000"/>
                <w:sz w:val="18"/>
              </w:rPr>
              <w:t>Tune pool_size against load tests.</w:t>
            </w:r>
          </w:p>
        </w:tc>
        <w:tc>
          <w:tcPr>
            <w:tcW w:type="dxa" w:w="1662"/>
            <w:vAlign w:val="top"/>
          </w:tcPr>
          <w:p>
            <w:r/>
            <w:r>
              <w:rPr>
                <w:rFonts w:ascii="Calibri" w:hAnsi="Calibri"/>
                <w:b w:val="0"/>
                <w:i w:val="0"/>
                <w:color w:val="000000"/>
                <w:sz w:val="18"/>
              </w:rPr>
              <w:t>0.5 day</w:t>
            </w:r>
          </w:p>
        </w:tc>
      </w:tr>
      <w:tr>
        <w:tc>
          <w:tcPr>
            <w:tcW w:type="dxa" w:w="1662"/>
            <w:vAlign w:val="top"/>
          </w:tcPr>
          <w:p>
            <w:r/>
            <w:r>
              <w:rPr>
                <w:rFonts w:ascii="Calibri" w:hAnsi="Calibri"/>
                <w:b w:val="0"/>
                <w:i w:val="0"/>
                <w:color w:val="000000"/>
                <w:sz w:val="18"/>
              </w:rPr>
              <w:t>DB-03</w:t>
            </w:r>
          </w:p>
        </w:tc>
        <w:tc>
          <w:tcPr>
            <w:tcW w:type="dxa" w:w="1662"/>
            <w:vAlign w:val="top"/>
          </w:tcPr>
          <w:p>
            <w:r/>
            <w:r>
              <w:rPr>
                <w:rFonts w:ascii="Calibri" w:hAnsi="Calibri"/>
                <w:b w:val="0"/>
                <w:i w:val="0"/>
                <w:color w:val="000000"/>
                <w:sz w:val="18"/>
              </w:rPr>
              <w:t>MEDIUM</w:t>
            </w:r>
          </w:p>
        </w:tc>
        <w:tc>
          <w:tcPr>
            <w:tcW w:type="dxa" w:w="1662"/>
            <w:vAlign w:val="top"/>
          </w:tcPr>
          <w:p>
            <w:r/>
            <w:r>
              <w:rPr>
                <w:rFonts w:ascii="Calibri" w:hAnsi="Calibri"/>
                <w:b w:val="0"/>
                <w:i w:val="0"/>
                <w:color w:val="000000"/>
                <w:sz w:val="18"/>
              </w:rPr>
              <w:t>No deep-pagination offset cap</w:t>
            </w:r>
          </w:p>
        </w:tc>
        <w:tc>
          <w:tcPr>
            <w:tcW w:type="dxa" w:w="1662"/>
            <w:vAlign w:val="top"/>
          </w:tcPr>
          <w:p>
            <w:r/>
            <w:r>
              <w:rPr>
                <w:rFonts w:ascii="Calibri" w:hAnsi="Calibri"/>
                <w:b w:val="0"/>
                <w:i w:val="0"/>
                <w:color w:val="000000"/>
                <w:sz w:val="18"/>
              </w:rPr>
              <w:t>Unbounded OFFSET enables slow scans.</w:t>
            </w:r>
          </w:p>
        </w:tc>
        <w:tc>
          <w:tcPr>
            <w:tcW w:type="dxa" w:w="1662"/>
            <w:vAlign w:val="top"/>
          </w:tcPr>
          <w:p>
            <w:r/>
            <w:r>
              <w:rPr>
                <w:rFonts w:ascii="Calibri" w:hAnsi="Calibri"/>
                <w:b w:val="0"/>
                <w:i w:val="0"/>
                <w:color w:val="000000"/>
                <w:sz w:val="18"/>
              </w:rPr>
              <w:t>Reject OFFSET &gt; 100,000 in pagination utility.</w:t>
            </w:r>
          </w:p>
        </w:tc>
        <w:tc>
          <w:tcPr>
            <w:tcW w:type="dxa" w:w="1662"/>
            <w:vAlign w:val="top"/>
          </w:tcPr>
          <w:p>
            <w:r/>
            <w:r>
              <w:rPr>
                <w:rFonts w:ascii="Calibri" w:hAnsi="Calibri"/>
                <w:b w:val="0"/>
                <w:i w:val="0"/>
                <w:color w:val="000000"/>
                <w:sz w:val="18"/>
              </w:rPr>
              <w:t>0.5 day</w:t>
            </w:r>
          </w:p>
        </w:tc>
      </w:tr>
      <w:tr>
        <w:tc>
          <w:tcPr>
            <w:tcW w:type="dxa" w:w="1662"/>
            <w:vAlign w:val="top"/>
          </w:tcPr>
          <w:p>
            <w:r/>
            <w:r>
              <w:rPr>
                <w:rFonts w:ascii="Calibri" w:hAnsi="Calibri"/>
                <w:b w:val="0"/>
                <w:i w:val="0"/>
                <w:color w:val="000000"/>
                <w:sz w:val="18"/>
              </w:rPr>
              <w:t>AGT-06</w:t>
            </w:r>
          </w:p>
        </w:tc>
        <w:tc>
          <w:tcPr>
            <w:tcW w:type="dxa" w:w="1662"/>
            <w:vAlign w:val="top"/>
          </w:tcPr>
          <w:p>
            <w:r/>
            <w:r>
              <w:rPr>
                <w:rFonts w:ascii="Calibri" w:hAnsi="Calibri"/>
                <w:b w:val="0"/>
                <w:i w:val="0"/>
                <w:color w:val="000000"/>
                <w:sz w:val="18"/>
              </w:rPr>
              <w:t>MEDIUM</w:t>
            </w:r>
          </w:p>
        </w:tc>
        <w:tc>
          <w:tcPr>
            <w:tcW w:type="dxa" w:w="1662"/>
            <w:vAlign w:val="top"/>
          </w:tcPr>
          <w:p>
            <w:r/>
            <w:r>
              <w:rPr>
                <w:rFonts w:ascii="Calibri" w:hAnsi="Calibri"/>
                <w:b w:val="0"/>
                <w:i w:val="0"/>
                <w:color w:val="000000"/>
                <w:sz w:val="18"/>
              </w:rPr>
              <w:t>FileSessionManager — no recovery, no cleanup</w:t>
            </w:r>
          </w:p>
        </w:tc>
        <w:tc>
          <w:tcPr>
            <w:tcW w:type="dxa" w:w="1662"/>
            <w:vAlign w:val="top"/>
          </w:tcPr>
          <w:p>
            <w:r/>
            <w:r>
              <w:rPr>
                <w:rFonts w:ascii="Calibri" w:hAnsi="Calibri"/>
                <w:b w:val="0"/>
                <w:i w:val="0"/>
                <w:color w:val="000000"/>
                <w:sz w:val="18"/>
              </w:rPr>
              <w:t>Disk-based sessions; concurrent writes contend; no purge.</w:t>
            </w:r>
          </w:p>
        </w:tc>
        <w:tc>
          <w:tcPr>
            <w:tcW w:type="dxa" w:w="1662"/>
            <w:vAlign w:val="top"/>
          </w:tcPr>
          <w:p>
            <w:r/>
            <w:r>
              <w:rPr>
                <w:rFonts w:ascii="Calibri" w:hAnsi="Calibri"/>
                <w:b w:val="0"/>
                <w:i w:val="0"/>
                <w:color w:val="000000"/>
                <w:sz w:val="18"/>
              </w:rPr>
              <w:t>fcntl locking now; migrate to DynamoDB / Redis.</w:t>
            </w:r>
          </w:p>
        </w:tc>
        <w:tc>
          <w:tcPr>
            <w:tcW w:type="dxa" w:w="1662"/>
            <w:vAlign w:val="top"/>
          </w:tcPr>
          <w:p>
            <w:r/>
            <w:r>
              <w:rPr>
                <w:rFonts w:ascii="Calibri" w:hAnsi="Calibri"/>
                <w:b w:val="0"/>
                <w:i w:val="0"/>
                <w:color w:val="000000"/>
                <w:sz w:val="18"/>
              </w:rPr>
              <w:t>2 days</w:t>
            </w:r>
          </w:p>
        </w:tc>
      </w:tr>
      <w:tr>
        <w:tc>
          <w:tcPr>
            <w:tcW w:type="dxa" w:w="1662"/>
            <w:vAlign w:val="top"/>
          </w:tcPr>
          <w:p>
            <w:r/>
            <w:r>
              <w:rPr>
                <w:rFonts w:ascii="Calibri" w:hAnsi="Calibri"/>
                <w:b w:val="0"/>
                <w:i w:val="0"/>
                <w:color w:val="000000"/>
                <w:sz w:val="18"/>
              </w:rPr>
              <w:t>GRAPH-01</w:t>
            </w:r>
          </w:p>
        </w:tc>
        <w:tc>
          <w:tcPr>
            <w:tcW w:type="dxa" w:w="1662"/>
            <w:vAlign w:val="top"/>
          </w:tcPr>
          <w:p>
            <w:r/>
            <w:r>
              <w:rPr>
                <w:rFonts w:ascii="Calibri" w:hAnsi="Calibri"/>
                <w:b w:val="0"/>
                <w:i w:val="0"/>
                <w:color w:val="000000"/>
                <w:sz w:val="18"/>
              </w:rPr>
              <w:t>MEDIUM</w:t>
            </w:r>
          </w:p>
        </w:tc>
        <w:tc>
          <w:tcPr>
            <w:tcW w:type="dxa" w:w="1662"/>
            <w:vAlign w:val="top"/>
          </w:tcPr>
          <w:p>
            <w:r/>
            <w:r>
              <w:rPr>
                <w:rFonts w:ascii="Calibri" w:hAnsi="Calibri"/>
                <w:b w:val="0"/>
                <w:i w:val="0"/>
                <w:color w:val="000000"/>
                <w:sz w:val="18"/>
              </w:rPr>
              <w:t>No graph statistics dashboard</w:t>
            </w:r>
          </w:p>
        </w:tc>
        <w:tc>
          <w:tcPr>
            <w:tcW w:type="dxa" w:w="1662"/>
            <w:vAlign w:val="top"/>
          </w:tcPr>
          <w:p>
            <w:r/>
            <w:r>
              <w:rPr>
                <w:rFonts w:ascii="Calibri" w:hAnsi="Calibri"/>
                <w:b w:val="0"/>
                <w:i w:val="0"/>
                <w:color w:val="000000"/>
                <w:sz w:val="18"/>
              </w:rPr>
              <w:t>Node / edge counts and growth rate not surfaced.</w:t>
            </w:r>
          </w:p>
        </w:tc>
        <w:tc>
          <w:tcPr>
            <w:tcW w:type="dxa" w:w="1662"/>
            <w:vAlign w:val="top"/>
          </w:tcPr>
          <w:p>
            <w:r/>
            <w:r>
              <w:rPr>
                <w:rFonts w:ascii="Calibri" w:hAnsi="Calibri"/>
                <w:b w:val="0"/>
                <w:i w:val="0"/>
                <w:color w:val="000000"/>
                <w:sz w:val="18"/>
              </w:rPr>
              <w:t>Add /stats/graph endpoint and a small dashboard.</w:t>
            </w:r>
          </w:p>
        </w:tc>
        <w:tc>
          <w:tcPr>
            <w:tcW w:type="dxa" w:w="1662"/>
            <w:vAlign w:val="top"/>
          </w:tcPr>
          <w:p>
            <w:r/>
            <w:r>
              <w:rPr>
                <w:rFonts w:ascii="Calibri" w:hAnsi="Calibri"/>
                <w:b w:val="0"/>
                <w:i w:val="0"/>
                <w:color w:val="000000"/>
                <w:sz w:val="18"/>
              </w:rPr>
              <w:t>1 day</w:t>
            </w:r>
          </w:p>
        </w:tc>
      </w:tr>
      <w:tr>
        <w:tc>
          <w:tcPr>
            <w:tcW w:type="dxa" w:w="1662"/>
            <w:vAlign w:val="top"/>
          </w:tcPr>
          <w:p>
            <w:r/>
            <w:r>
              <w:rPr>
                <w:rFonts w:ascii="Calibri" w:hAnsi="Calibri"/>
                <w:b w:val="0"/>
                <w:i w:val="0"/>
                <w:color w:val="000000"/>
                <w:sz w:val="18"/>
              </w:rPr>
              <w:t>GRAPH-02</w:t>
            </w:r>
          </w:p>
        </w:tc>
        <w:tc>
          <w:tcPr>
            <w:tcW w:type="dxa" w:w="1662"/>
            <w:vAlign w:val="top"/>
          </w:tcPr>
          <w:p>
            <w:r/>
            <w:r>
              <w:rPr>
                <w:rFonts w:ascii="Calibri" w:hAnsi="Calibri"/>
                <w:b w:val="0"/>
                <w:i w:val="0"/>
                <w:color w:val="000000"/>
                <w:sz w:val="18"/>
              </w:rPr>
              <w:t>MEDIUM</w:t>
            </w:r>
          </w:p>
        </w:tc>
        <w:tc>
          <w:tcPr>
            <w:tcW w:type="dxa" w:w="1662"/>
            <w:vAlign w:val="top"/>
          </w:tcPr>
          <w:p>
            <w:r/>
            <w:r>
              <w:rPr>
                <w:rFonts w:ascii="Calibri" w:hAnsi="Calibri"/>
                <w:b w:val="0"/>
                <w:i w:val="0"/>
                <w:color w:val="000000"/>
                <w:sz w:val="18"/>
              </w:rPr>
              <w:t>Graph data freshness not tracked</w:t>
            </w:r>
          </w:p>
        </w:tc>
        <w:tc>
          <w:tcPr>
            <w:tcW w:type="dxa" w:w="1662"/>
            <w:vAlign w:val="top"/>
          </w:tcPr>
          <w:p>
            <w:r/>
            <w:r>
              <w:rPr>
                <w:rFonts w:ascii="Calibri" w:hAnsi="Calibri"/>
                <w:b w:val="0"/>
                <w:i w:val="0"/>
                <w:color w:val="000000"/>
                <w:sz w:val="18"/>
              </w:rPr>
              <w:t>No last_updated on nodes; staleness not detectable.</w:t>
            </w:r>
          </w:p>
        </w:tc>
        <w:tc>
          <w:tcPr>
            <w:tcW w:type="dxa" w:w="1662"/>
            <w:vAlign w:val="top"/>
          </w:tcPr>
          <w:p>
            <w:r/>
            <w:r>
              <w:rPr>
                <w:rFonts w:ascii="Calibri" w:hAnsi="Calibri"/>
                <w:b w:val="0"/>
                <w:i w:val="0"/>
                <w:color w:val="000000"/>
                <w:sz w:val="18"/>
              </w:rPr>
              <w:t>Add last_updated property; expose in /stats.</w:t>
            </w:r>
          </w:p>
        </w:tc>
        <w:tc>
          <w:tcPr>
            <w:tcW w:type="dxa" w:w="1662"/>
            <w:vAlign w:val="top"/>
          </w:tcPr>
          <w:p>
            <w:r/>
            <w:r>
              <w:rPr>
                <w:rFonts w:ascii="Calibri" w:hAnsi="Calibri"/>
                <w:b w:val="0"/>
                <w:i w:val="0"/>
                <w:color w:val="000000"/>
                <w:sz w:val="18"/>
              </w:rPr>
              <w:t>2 days</w:t>
            </w:r>
          </w:p>
        </w:tc>
      </w:tr>
    </w:tbl>
    <w:p/>
    <w:p>
      <w:pPr>
        <w:spacing w:before="280" w:after="160"/>
        <w:outlineLvl w:val="1"/>
      </w:pPr>
      <w:r>
        <w:rPr>
          <w:rFonts w:ascii="Calibri" w:hAnsi="Calibri"/>
          <w:b/>
          <w:i w:val="0"/>
          <w:color w:val="1B3A6B"/>
          <w:sz w:val="34"/>
        </w:rPr>
        <w:t>Appendix B — AI Risk Register</w:t>
      </w:r>
    </w:p>
    <w:tbl>
      <w:tblPr>
        <w:tblStyle w:val="LightGrid-Accent1"/>
        <w:tblW w:type="auto" w:w="0"/>
        <w:jc w:val="center"/>
        <w:tblLook w:firstColumn="1" w:firstRow="1" w:lastColumn="0" w:lastRow="0" w:noHBand="0" w:noVBand="1" w:val="04A0"/>
      </w:tblPr>
      <w:tblGrid>
        <w:gridCol w:w="1994"/>
        <w:gridCol w:w="1994"/>
        <w:gridCol w:w="1994"/>
        <w:gridCol w:w="1994"/>
        <w:gridCol w:w="1994"/>
      </w:tblGrid>
      <w:tr>
        <w:tc>
          <w:tcPr>
            <w:tcW w:type="dxa" w:w="1994"/>
            <w:shd w:val="clear" w:color="auto" w:fill="1B3A6B"/>
            <w:vAlign w:val="top"/>
          </w:tcPr>
          <w:p>
            <w:r/>
            <w:r>
              <w:rPr>
                <w:rFonts w:ascii="Calibri" w:hAnsi="Calibri"/>
                <w:b/>
                <w:i w:val="0"/>
                <w:color w:val="FFFFFF"/>
                <w:sz w:val="18"/>
              </w:rPr>
              <w:t>ID</w:t>
            </w:r>
          </w:p>
        </w:tc>
        <w:tc>
          <w:tcPr>
            <w:tcW w:type="dxa" w:w="1994"/>
            <w:shd w:val="clear" w:color="auto" w:fill="1B3A6B"/>
            <w:vAlign w:val="top"/>
          </w:tcPr>
          <w:p>
            <w:r/>
            <w:r>
              <w:rPr>
                <w:rFonts w:ascii="Calibri" w:hAnsi="Calibri"/>
                <w:b/>
                <w:i w:val="0"/>
                <w:color w:val="FFFFFF"/>
                <w:sz w:val="18"/>
              </w:rPr>
              <w:t>Risk</w:t>
            </w:r>
          </w:p>
        </w:tc>
        <w:tc>
          <w:tcPr>
            <w:tcW w:type="dxa" w:w="1994"/>
            <w:shd w:val="clear" w:color="auto" w:fill="1B3A6B"/>
            <w:vAlign w:val="top"/>
          </w:tcPr>
          <w:p>
            <w:r/>
            <w:r>
              <w:rPr>
                <w:rFonts w:ascii="Calibri" w:hAnsi="Calibri"/>
                <w:b/>
                <w:i w:val="0"/>
                <w:color w:val="FFFFFF"/>
                <w:sz w:val="18"/>
              </w:rPr>
              <w:t>L</w:t>
            </w:r>
          </w:p>
        </w:tc>
        <w:tc>
          <w:tcPr>
            <w:tcW w:type="dxa" w:w="1994"/>
            <w:shd w:val="clear" w:color="auto" w:fill="1B3A6B"/>
            <w:vAlign w:val="top"/>
          </w:tcPr>
          <w:p>
            <w:r/>
            <w:r>
              <w:rPr>
                <w:rFonts w:ascii="Calibri" w:hAnsi="Calibri"/>
                <w:b/>
                <w:i w:val="0"/>
                <w:color w:val="FFFFFF"/>
                <w:sz w:val="18"/>
              </w:rPr>
              <w:t>I</w:t>
            </w:r>
          </w:p>
        </w:tc>
        <w:tc>
          <w:tcPr>
            <w:tcW w:type="dxa" w:w="1994"/>
            <w:shd w:val="clear" w:color="auto" w:fill="1B3A6B"/>
            <w:vAlign w:val="top"/>
          </w:tcPr>
          <w:p>
            <w:r/>
            <w:r>
              <w:rPr>
                <w:rFonts w:ascii="Calibri" w:hAnsi="Calibri"/>
                <w:b/>
                <w:i w:val="0"/>
                <w:color w:val="FFFFFF"/>
                <w:sz w:val="18"/>
              </w:rPr>
              <w:t>Mitigation</w:t>
            </w:r>
          </w:p>
        </w:tc>
      </w:tr>
      <w:tr>
        <w:tc>
          <w:tcPr>
            <w:tcW w:type="dxa" w:w="1994"/>
            <w:vAlign w:val="top"/>
          </w:tcPr>
          <w:p>
            <w:r/>
            <w:r>
              <w:rPr>
                <w:rFonts w:ascii="Calibri" w:hAnsi="Calibri"/>
                <w:b w:val="0"/>
                <w:i w:val="0"/>
                <w:color w:val="000000"/>
                <w:sz w:val="18"/>
              </w:rPr>
              <w:t>AI-R01</w:t>
            </w:r>
          </w:p>
        </w:tc>
        <w:tc>
          <w:tcPr>
            <w:tcW w:type="dxa" w:w="1994"/>
            <w:vAlign w:val="top"/>
          </w:tcPr>
          <w:p>
            <w:r/>
            <w:r>
              <w:rPr>
                <w:rFonts w:ascii="Calibri" w:hAnsi="Calibri"/>
                <w:b w:val="0"/>
                <w:i w:val="0"/>
                <w:color w:val="000000"/>
                <w:sz w:val="18"/>
              </w:rPr>
              <w:t>Hallucination in biomedical context</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Critical</w:t>
            </w:r>
          </w:p>
        </w:tc>
        <w:tc>
          <w:tcPr>
            <w:tcW w:type="dxa" w:w="1994"/>
            <w:vAlign w:val="top"/>
          </w:tcPr>
          <w:p>
            <w:r/>
            <w:r>
              <w:rPr>
                <w:rFonts w:ascii="Calibri" w:hAnsi="Calibri"/>
                <w:b w:val="0"/>
                <w:i w:val="0"/>
                <w:color w:val="000000"/>
                <w:sz w:val="18"/>
              </w:rPr>
              <w:t>Citation enforcement; fact-check tool</w:t>
            </w:r>
          </w:p>
        </w:tc>
      </w:tr>
      <w:tr>
        <w:tc>
          <w:tcPr>
            <w:tcW w:type="dxa" w:w="1994"/>
            <w:vAlign w:val="top"/>
          </w:tcPr>
          <w:p>
            <w:r/>
            <w:r>
              <w:rPr>
                <w:rFonts w:ascii="Calibri" w:hAnsi="Calibri"/>
                <w:b w:val="0"/>
                <w:i w:val="0"/>
                <w:color w:val="000000"/>
                <w:sz w:val="18"/>
              </w:rPr>
              <w:t>AI-R02</w:t>
            </w:r>
          </w:p>
        </w:tc>
        <w:tc>
          <w:tcPr>
            <w:tcW w:type="dxa" w:w="1994"/>
            <w:vAlign w:val="top"/>
          </w:tcPr>
          <w:p>
            <w:r/>
            <w:r>
              <w:rPr>
                <w:rFonts w:ascii="Calibri" w:hAnsi="Calibri"/>
                <w:b w:val="0"/>
                <w:i w:val="0"/>
                <w:color w:val="000000"/>
                <w:sz w:val="18"/>
              </w:rPr>
              <w:t>PII / PHI in user prompts</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AWS Comprehend PII detection middleware</w:t>
            </w:r>
          </w:p>
        </w:tc>
      </w:tr>
      <w:tr>
        <w:tc>
          <w:tcPr>
            <w:tcW w:type="dxa" w:w="1994"/>
            <w:vAlign w:val="top"/>
          </w:tcPr>
          <w:p>
            <w:r/>
            <w:r>
              <w:rPr>
                <w:rFonts w:ascii="Calibri" w:hAnsi="Calibri"/>
                <w:b w:val="0"/>
                <w:i w:val="0"/>
                <w:color w:val="000000"/>
                <w:sz w:val="18"/>
              </w:rPr>
              <w:t>AI-R03</w:t>
            </w:r>
          </w:p>
        </w:tc>
        <w:tc>
          <w:tcPr>
            <w:tcW w:type="dxa" w:w="1994"/>
            <w:vAlign w:val="top"/>
          </w:tcPr>
          <w:p>
            <w:r/>
            <w:r>
              <w:rPr>
                <w:rFonts w:ascii="Calibri" w:hAnsi="Calibri"/>
                <w:b w:val="0"/>
                <w:i w:val="0"/>
                <w:color w:val="000000"/>
                <w:sz w:val="18"/>
              </w:rPr>
              <w:t>Prompt injection via tool results</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Input / output sanitisation</w:t>
            </w:r>
          </w:p>
        </w:tc>
      </w:tr>
      <w:tr>
        <w:tc>
          <w:tcPr>
            <w:tcW w:type="dxa" w:w="1994"/>
            <w:vAlign w:val="top"/>
          </w:tcPr>
          <w:p>
            <w:r/>
            <w:r>
              <w:rPr>
                <w:rFonts w:ascii="Calibri" w:hAnsi="Calibri"/>
                <w:b w:val="0"/>
                <w:i w:val="0"/>
                <w:color w:val="000000"/>
                <w:sz w:val="18"/>
              </w:rPr>
              <w:t>AI-R04</w:t>
            </w:r>
          </w:p>
        </w:tc>
        <w:tc>
          <w:tcPr>
            <w:tcW w:type="dxa" w:w="1994"/>
            <w:vAlign w:val="top"/>
          </w:tcPr>
          <w:p>
            <w:r/>
            <w:r>
              <w:rPr>
                <w:rFonts w:ascii="Calibri" w:hAnsi="Calibri"/>
                <w:b w:val="0"/>
                <w:i w:val="0"/>
                <w:color w:val="000000"/>
                <w:sz w:val="18"/>
              </w:rPr>
              <w:t>Unbounded agent cost</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Token budget; cost alerting</w:t>
            </w:r>
          </w:p>
        </w:tc>
      </w:tr>
      <w:tr>
        <w:tc>
          <w:tcPr>
            <w:tcW w:type="dxa" w:w="1994"/>
            <w:vAlign w:val="top"/>
          </w:tcPr>
          <w:p>
            <w:r/>
            <w:r>
              <w:rPr>
                <w:rFonts w:ascii="Calibri" w:hAnsi="Calibri"/>
                <w:b w:val="0"/>
                <w:i w:val="0"/>
                <w:color w:val="000000"/>
                <w:sz w:val="18"/>
              </w:rPr>
              <w:t>AI-R05</w:t>
            </w:r>
          </w:p>
        </w:tc>
        <w:tc>
          <w:tcPr>
            <w:tcW w:type="dxa" w:w="1994"/>
            <w:vAlign w:val="top"/>
          </w:tcPr>
          <w:p>
            <w:r/>
            <w:r>
              <w:rPr>
                <w:rFonts w:ascii="Calibri" w:hAnsi="Calibri"/>
                <w:b w:val="0"/>
                <w:i w:val="0"/>
                <w:color w:val="000000"/>
                <w:sz w:val="18"/>
              </w:rPr>
              <w:t>python_repl arbitrary code execution</w:t>
            </w:r>
          </w:p>
        </w:tc>
        <w:tc>
          <w:tcPr>
            <w:tcW w:type="dxa" w:w="1994"/>
            <w:vAlign w:val="top"/>
          </w:tcPr>
          <w:p>
            <w:r/>
            <w:r>
              <w:rPr>
                <w:rFonts w:ascii="Calibri" w:hAnsi="Calibri"/>
                <w:b w:val="0"/>
                <w:i w:val="0"/>
                <w:color w:val="000000"/>
                <w:sz w:val="18"/>
              </w:rPr>
              <w:t>Low</w:t>
            </w:r>
          </w:p>
        </w:tc>
        <w:tc>
          <w:tcPr>
            <w:tcW w:type="dxa" w:w="1994"/>
            <w:vAlign w:val="top"/>
          </w:tcPr>
          <w:p>
            <w:r/>
            <w:r>
              <w:rPr>
                <w:rFonts w:ascii="Calibri" w:hAnsi="Calibri"/>
                <w:b w:val="0"/>
                <w:i w:val="0"/>
                <w:color w:val="000000"/>
                <w:sz w:val="18"/>
              </w:rPr>
              <w:t>Critical</w:t>
            </w:r>
          </w:p>
        </w:tc>
        <w:tc>
          <w:tcPr>
            <w:tcW w:type="dxa" w:w="1994"/>
            <w:vAlign w:val="top"/>
          </w:tcPr>
          <w:p>
            <w:r/>
            <w:r>
              <w:rPr>
                <w:rFonts w:ascii="Calibri" w:hAnsi="Calibri"/>
                <w:b w:val="0"/>
                <w:i w:val="0"/>
                <w:color w:val="000000"/>
                <w:sz w:val="18"/>
              </w:rPr>
              <w:t>Remove from default tools (AGT-05)</w:t>
            </w:r>
          </w:p>
        </w:tc>
      </w:tr>
      <w:tr>
        <w:tc>
          <w:tcPr>
            <w:tcW w:type="dxa" w:w="1994"/>
            <w:vAlign w:val="top"/>
          </w:tcPr>
          <w:p>
            <w:r/>
            <w:r>
              <w:rPr>
                <w:rFonts w:ascii="Calibri" w:hAnsi="Calibri"/>
                <w:b w:val="0"/>
                <w:i w:val="0"/>
                <w:color w:val="000000"/>
                <w:sz w:val="18"/>
              </w:rPr>
              <w:t>AI-R06</w:t>
            </w:r>
          </w:p>
        </w:tc>
        <w:tc>
          <w:tcPr>
            <w:tcW w:type="dxa" w:w="1994"/>
            <w:vAlign w:val="top"/>
          </w:tcPr>
          <w:p>
            <w:r/>
            <w:r>
              <w:rPr>
                <w:rFonts w:ascii="Calibri" w:hAnsi="Calibri"/>
                <w:b w:val="0"/>
                <w:i w:val="0"/>
                <w:color w:val="000000"/>
                <w:sz w:val="18"/>
              </w:rPr>
              <w:t>Model bias in drug recommendations</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Bias evaluation framework</w:t>
            </w:r>
          </w:p>
        </w:tc>
      </w:tr>
      <w:tr>
        <w:tc>
          <w:tcPr>
            <w:tcW w:type="dxa" w:w="1994"/>
            <w:vAlign w:val="top"/>
          </w:tcPr>
          <w:p>
            <w:r/>
            <w:r>
              <w:rPr>
                <w:rFonts w:ascii="Calibri" w:hAnsi="Calibri"/>
                <w:b w:val="0"/>
                <w:i w:val="0"/>
                <w:color w:val="000000"/>
                <w:sz w:val="18"/>
              </w:rPr>
              <w:t>AI-R07</w:t>
            </w:r>
          </w:p>
        </w:tc>
        <w:tc>
          <w:tcPr>
            <w:tcW w:type="dxa" w:w="1994"/>
            <w:vAlign w:val="top"/>
          </w:tcPr>
          <w:p>
            <w:r/>
            <w:r>
              <w:rPr>
                <w:rFonts w:ascii="Calibri" w:hAnsi="Calibri"/>
                <w:b w:val="0"/>
                <w:i w:val="0"/>
                <w:color w:val="000000"/>
                <w:sz w:val="18"/>
              </w:rPr>
              <w:t>Tool-result tampering</w:t>
            </w:r>
          </w:p>
        </w:tc>
        <w:tc>
          <w:tcPr>
            <w:tcW w:type="dxa" w:w="1994"/>
            <w:vAlign w:val="top"/>
          </w:tcPr>
          <w:p>
            <w:r/>
            <w:r>
              <w:rPr>
                <w:rFonts w:ascii="Calibri" w:hAnsi="Calibri"/>
                <w:b w:val="0"/>
                <w:i w:val="0"/>
                <w:color w:val="000000"/>
                <w:sz w:val="18"/>
              </w:rPr>
              <w:t>Low</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Signed responses; integrity checks</w:t>
            </w:r>
          </w:p>
        </w:tc>
      </w:tr>
      <w:tr>
        <w:tc>
          <w:tcPr>
            <w:tcW w:type="dxa" w:w="1994"/>
            <w:vAlign w:val="top"/>
          </w:tcPr>
          <w:p>
            <w:r/>
            <w:r>
              <w:rPr>
                <w:rFonts w:ascii="Calibri" w:hAnsi="Calibri"/>
                <w:b w:val="0"/>
                <w:i w:val="0"/>
                <w:color w:val="000000"/>
                <w:sz w:val="18"/>
              </w:rPr>
              <w:t>AI-R08</w:t>
            </w:r>
          </w:p>
        </w:tc>
        <w:tc>
          <w:tcPr>
            <w:tcW w:type="dxa" w:w="1994"/>
            <w:vAlign w:val="top"/>
          </w:tcPr>
          <w:p>
            <w:r/>
            <w:r>
              <w:rPr>
                <w:rFonts w:ascii="Calibri" w:hAnsi="Calibri"/>
                <w:b w:val="0"/>
                <w:i w:val="0"/>
                <w:color w:val="000000"/>
                <w:sz w:val="18"/>
              </w:rPr>
              <w:t>Agent decision non-explainability</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High</w:t>
            </w:r>
          </w:p>
        </w:tc>
        <w:tc>
          <w:tcPr>
            <w:tcW w:type="dxa" w:w="1994"/>
            <w:vAlign w:val="top"/>
          </w:tcPr>
          <w:p>
            <w:r/>
            <w:r>
              <w:rPr>
                <w:rFonts w:ascii="Calibri" w:hAnsi="Calibri"/>
                <w:b w:val="0"/>
                <w:i w:val="0"/>
                <w:color w:val="000000"/>
                <w:sz w:val="18"/>
              </w:rPr>
              <w:t>Citation trail; lineage API</w:t>
            </w:r>
          </w:p>
        </w:tc>
      </w:tr>
      <w:tr>
        <w:tc>
          <w:tcPr>
            <w:tcW w:type="dxa" w:w="1994"/>
            <w:vAlign w:val="top"/>
          </w:tcPr>
          <w:p>
            <w:r/>
            <w:r>
              <w:rPr>
                <w:rFonts w:ascii="Calibri" w:hAnsi="Calibri"/>
                <w:b w:val="0"/>
                <w:i w:val="0"/>
                <w:color w:val="000000"/>
                <w:sz w:val="18"/>
              </w:rPr>
              <w:t>AI-R09</w:t>
            </w:r>
          </w:p>
        </w:tc>
        <w:tc>
          <w:tcPr>
            <w:tcW w:type="dxa" w:w="1994"/>
            <w:vAlign w:val="top"/>
          </w:tcPr>
          <w:p>
            <w:r/>
            <w:r>
              <w:rPr>
                <w:rFonts w:ascii="Calibri" w:hAnsi="Calibri"/>
                <w:b w:val="0"/>
                <w:i w:val="0"/>
                <w:color w:val="000000"/>
                <w:sz w:val="18"/>
              </w:rPr>
              <w:t>Single-LLM-provider dependency</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Dual-provider auto-detect (current)</w:t>
            </w:r>
          </w:p>
        </w:tc>
      </w:tr>
      <w:tr>
        <w:tc>
          <w:tcPr>
            <w:tcW w:type="dxa" w:w="1994"/>
            <w:vAlign w:val="top"/>
          </w:tcPr>
          <w:p>
            <w:r/>
            <w:r>
              <w:rPr>
                <w:rFonts w:ascii="Calibri" w:hAnsi="Calibri"/>
                <w:b w:val="0"/>
                <w:i w:val="0"/>
                <w:color w:val="000000"/>
                <w:sz w:val="18"/>
              </w:rPr>
              <w:t>AI-R10</w:t>
            </w:r>
          </w:p>
        </w:tc>
        <w:tc>
          <w:tcPr>
            <w:tcW w:type="dxa" w:w="1994"/>
            <w:vAlign w:val="top"/>
          </w:tcPr>
          <w:p>
            <w:r/>
            <w:r>
              <w:rPr>
                <w:rFonts w:ascii="Calibri" w:hAnsi="Calibri"/>
                <w:b w:val="0"/>
                <w:i w:val="0"/>
                <w:color w:val="000000"/>
                <w:sz w:val="18"/>
              </w:rPr>
              <w:t>Regulatory non-compliance (21 CFR Part 11)</w:t>
            </w:r>
          </w:p>
        </w:tc>
        <w:tc>
          <w:tcPr>
            <w:tcW w:type="dxa" w:w="1994"/>
            <w:vAlign w:val="top"/>
          </w:tcPr>
          <w:p>
            <w:r/>
            <w:r>
              <w:rPr>
                <w:rFonts w:ascii="Calibri" w:hAnsi="Calibri"/>
                <w:b w:val="0"/>
                <w:i w:val="0"/>
                <w:color w:val="000000"/>
                <w:sz w:val="18"/>
              </w:rPr>
              <w:t>Med</w:t>
            </w:r>
          </w:p>
        </w:tc>
        <w:tc>
          <w:tcPr>
            <w:tcW w:type="dxa" w:w="1994"/>
            <w:vAlign w:val="top"/>
          </w:tcPr>
          <w:p>
            <w:r/>
            <w:r>
              <w:rPr>
                <w:rFonts w:ascii="Calibri" w:hAnsi="Calibri"/>
                <w:b w:val="0"/>
                <w:i w:val="0"/>
                <w:color w:val="000000"/>
                <w:sz w:val="18"/>
              </w:rPr>
              <w:t>Critical</w:t>
            </w:r>
          </w:p>
        </w:tc>
        <w:tc>
          <w:tcPr>
            <w:tcW w:type="dxa" w:w="1994"/>
            <w:vAlign w:val="top"/>
          </w:tcPr>
          <w:p>
            <w:r/>
            <w:r>
              <w:rPr>
                <w:rFonts w:ascii="Calibri" w:hAnsi="Calibri"/>
                <w:b w:val="0"/>
                <w:i w:val="0"/>
                <w:color w:val="000000"/>
                <w:sz w:val="18"/>
              </w:rPr>
              <w:t>Audit log for all agent decisions</w:t>
            </w:r>
          </w:p>
        </w:tc>
      </w:tr>
    </w:tbl>
    <w:p/>
    <w:p>
      <w:pPr>
        <w:spacing w:before="280" w:after="160"/>
        <w:outlineLvl w:val="1"/>
      </w:pPr>
      <w:r>
        <w:rPr>
          <w:rFonts w:ascii="Calibri" w:hAnsi="Calibri"/>
          <w:b/>
          <w:i w:val="0"/>
          <w:color w:val="1B3A6B"/>
          <w:sz w:val="34"/>
        </w:rPr>
        <w:t>Appendix C — Glossary</w:t>
      </w:r>
    </w:p>
    <w:tbl>
      <w:tblPr>
        <w:tblStyle w:val="LightGrid-Accent1"/>
        <w:tblW w:type="auto" w:w="0"/>
        <w:jc w:val="center"/>
        <w:tblLook w:firstColumn="1" w:firstRow="1" w:lastColumn="0" w:lastRow="0" w:noHBand="0" w:noVBand="1" w:val="04A0"/>
      </w:tblPr>
      <w:tblGrid>
        <w:gridCol w:w="4986"/>
        <w:gridCol w:w="4986"/>
      </w:tblGrid>
      <w:tr>
        <w:tc>
          <w:tcPr>
            <w:tcW w:type="dxa" w:w="4986"/>
            <w:shd w:val="clear" w:color="auto" w:fill="1B3A6B"/>
            <w:vAlign w:val="top"/>
          </w:tcPr>
          <w:p>
            <w:r/>
            <w:r>
              <w:rPr>
                <w:rFonts w:ascii="Calibri" w:hAnsi="Calibri"/>
                <w:b/>
                <w:i w:val="0"/>
                <w:color w:val="FFFFFF"/>
                <w:sz w:val="18"/>
              </w:rPr>
              <w:t>Term</w:t>
            </w:r>
          </w:p>
        </w:tc>
        <w:tc>
          <w:tcPr>
            <w:tcW w:type="dxa" w:w="4986"/>
            <w:shd w:val="clear" w:color="auto" w:fill="1B3A6B"/>
            <w:vAlign w:val="top"/>
          </w:tcPr>
          <w:p>
            <w:r/>
            <w:r>
              <w:rPr>
                <w:rFonts w:ascii="Calibri" w:hAnsi="Calibri"/>
                <w:b/>
                <w:i w:val="0"/>
                <w:color w:val="FFFFFF"/>
                <w:sz w:val="18"/>
              </w:rPr>
              <w:t>Meaning</w:t>
            </w:r>
          </w:p>
        </w:tc>
      </w:tr>
      <w:tr>
        <w:tc>
          <w:tcPr>
            <w:tcW w:type="dxa" w:w="4986"/>
            <w:vAlign w:val="top"/>
          </w:tcPr>
          <w:p>
            <w:r/>
            <w:r>
              <w:rPr>
                <w:rFonts w:ascii="Calibri" w:hAnsi="Calibri"/>
                <w:b w:val="0"/>
                <w:i w:val="0"/>
                <w:color w:val="000000"/>
                <w:sz w:val="18"/>
              </w:rPr>
              <w:t>AgentCore</w:t>
            </w:r>
          </w:p>
        </w:tc>
        <w:tc>
          <w:tcPr>
            <w:tcW w:type="dxa" w:w="4986"/>
            <w:vAlign w:val="top"/>
          </w:tcPr>
          <w:p>
            <w:r/>
            <w:r>
              <w:rPr>
                <w:rFonts w:ascii="Calibri" w:hAnsi="Calibri"/>
                <w:b w:val="0"/>
                <w:i w:val="0"/>
                <w:color w:val="000000"/>
                <w:sz w:val="18"/>
              </w:rPr>
              <w:t>AWS Bedrock managed services for agent runtime, memory, gateway, observability</w:t>
            </w:r>
          </w:p>
        </w:tc>
      </w:tr>
      <w:tr>
        <w:tc>
          <w:tcPr>
            <w:tcW w:type="dxa" w:w="4986"/>
            <w:vAlign w:val="top"/>
          </w:tcPr>
          <w:p>
            <w:r/>
            <w:r>
              <w:rPr>
                <w:rFonts w:ascii="Calibri" w:hAnsi="Calibri"/>
                <w:b w:val="0"/>
                <w:i w:val="0"/>
                <w:color w:val="000000"/>
                <w:sz w:val="18"/>
              </w:rPr>
              <w:t>Bedrock KB</w:t>
            </w:r>
          </w:p>
        </w:tc>
        <w:tc>
          <w:tcPr>
            <w:tcW w:type="dxa" w:w="4986"/>
            <w:vAlign w:val="top"/>
          </w:tcPr>
          <w:p>
            <w:r/>
            <w:r>
              <w:rPr>
                <w:rFonts w:ascii="Calibri" w:hAnsi="Calibri"/>
                <w:b w:val="0"/>
                <w:i w:val="0"/>
                <w:color w:val="000000"/>
                <w:sz w:val="18"/>
              </w:rPr>
              <w:t>Amazon Bedrock Knowledge Base — managed retrieval over S3 vector content</w:t>
            </w:r>
          </w:p>
        </w:tc>
      </w:tr>
      <w:tr>
        <w:tc>
          <w:tcPr>
            <w:tcW w:type="dxa" w:w="4986"/>
            <w:vAlign w:val="top"/>
          </w:tcPr>
          <w:p>
            <w:r/>
            <w:r>
              <w:rPr>
                <w:rFonts w:ascii="Calibri" w:hAnsi="Calibri"/>
                <w:b w:val="0"/>
                <w:i w:val="0"/>
                <w:color w:val="000000"/>
                <w:sz w:val="18"/>
              </w:rPr>
              <w:t>Cytoscape.js</w:t>
            </w:r>
          </w:p>
        </w:tc>
        <w:tc>
          <w:tcPr>
            <w:tcW w:type="dxa" w:w="4986"/>
            <w:vAlign w:val="top"/>
          </w:tcPr>
          <w:p>
            <w:r/>
            <w:r>
              <w:rPr>
                <w:rFonts w:ascii="Calibri" w:hAnsi="Calibri"/>
                <w:b w:val="0"/>
                <w:i w:val="0"/>
                <w:color w:val="000000"/>
                <w:sz w:val="18"/>
              </w:rPr>
              <w:t>JavaScript graph visualisation library used in the v2 UI</w:t>
            </w:r>
          </w:p>
        </w:tc>
      </w:tr>
      <w:tr>
        <w:tc>
          <w:tcPr>
            <w:tcW w:type="dxa" w:w="4986"/>
            <w:vAlign w:val="top"/>
          </w:tcPr>
          <w:p>
            <w:r/>
            <w:r>
              <w:rPr>
                <w:rFonts w:ascii="Calibri" w:hAnsi="Calibri"/>
                <w:b w:val="0"/>
                <w:i w:val="0"/>
                <w:color w:val="000000"/>
                <w:sz w:val="18"/>
              </w:rPr>
              <w:t>EDGAR</w:t>
            </w:r>
          </w:p>
        </w:tc>
        <w:tc>
          <w:tcPr>
            <w:tcW w:type="dxa" w:w="4986"/>
            <w:vAlign w:val="top"/>
          </w:tcPr>
          <w:p>
            <w:r/>
            <w:r>
              <w:rPr>
                <w:rFonts w:ascii="Calibri" w:hAnsi="Calibri"/>
                <w:b w:val="0"/>
                <w:i w:val="0"/>
                <w:color w:val="000000"/>
                <w:sz w:val="18"/>
              </w:rPr>
              <w:t>SEC's Electronic Data Gathering, Analysis, and Retrieval system</w:t>
            </w:r>
          </w:p>
        </w:tc>
      </w:tr>
      <w:tr>
        <w:tc>
          <w:tcPr>
            <w:tcW w:type="dxa" w:w="4986"/>
            <w:vAlign w:val="top"/>
          </w:tcPr>
          <w:p>
            <w:r/>
            <w:r>
              <w:rPr>
                <w:rFonts w:ascii="Calibri" w:hAnsi="Calibri"/>
                <w:b w:val="0"/>
                <w:i w:val="0"/>
                <w:color w:val="000000"/>
                <w:sz w:val="18"/>
              </w:rPr>
              <w:t>Guardrails</w:t>
            </w:r>
          </w:p>
        </w:tc>
        <w:tc>
          <w:tcPr>
            <w:tcW w:type="dxa" w:w="4986"/>
            <w:vAlign w:val="top"/>
          </w:tcPr>
          <w:p>
            <w:r/>
            <w:r>
              <w:rPr>
                <w:rFonts w:ascii="Calibri" w:hAnsi="Calibri"/>
                <w:b w:val="0"/>
                <w:i w:val="0"/>
                <w:color w:val="000000"/>
                <w:sz w:val="18"/>
              </w:rPr>
              <w:t>Bedrock-native content / PII / topic policy filters</w:t>
            </w:r>
          </w:p>
        </w:tc>
      </w:tr>
      <w:tr>
        <w:tc>
          <w:tcPr>
            <w:tcW w:type="dxa" w:w="4986"/>
            <w:vAlign w:val="top"/>
          </w:tcPr>
          <w:p>
            <w:r/>
            <w:r>
              <w:rPr>
                <w:rFonts w:ascii="Calibri" w:hAnsi="Calibri"/>
                <w:b w:val="0"/>
                <w:i w:val="0"/>
                <w:color w:val="000000"/>
                <w:sz w:val="18"/>
              </w:rPr>
              <w:t>MCP</w:t>
            </w:r>
          </w:p>
        </w:tc>
        <w:tc>
          <w:tcPr>
            <w:tcW w:type="dxa" w:w="4986"/>
            <w:vAlign w:val="top"/>
          </w:tcPr>
          <w:p>
            <w:r/>
            <w:r>
              <w:rPr>
                <w:rFonts w:ascii="Calibri" w:hAnsi="Calibri"/>
                <w:b w:val="0"/>
                <w:i w:val="0"/>
                <w:color w:val="000000"/>
                <w:sz w:val="18"/>
              </w:rPr>
              <w:t>Model Context Protocol — agent tool surface protocol</w:t>
            </w:r>
          </w:p>
        </w:tc>
      </w:tr>
      <w:tr>
        <w:tc>
          <w:tcPr>
            <w:tcW w:type="dxa" w:w="4986"/>
            <w:vAlign w:val="top"/>
          </w:tcPr>
          <w:p>
            <w:r/>
            <w:r>
              <w:rPr>
                <w:rFonts w:ascii="Calibri" w:hAnsi="Calibri"/>
                <w:b w:val="0"/>
                <w:i w:val="0"/>
                <w:color w:val="000000"/>
                <w:sz w:val="18"/>
              </w:rPr>
              <w:t>NVL</w:t>
            </w:r>
          </w:p>
        </w:tc>
        <w:tc>
          <w:tcPr>
            <w:tcW w:type="dxa" w:w="4986"/>
            <w:vAlign w:val="top"/>
          </w:tcPr>
          <w:p>
            <w:r/>
            <w:r>
              <w:rPr>
                <w:rFonts w:ascii="Calibri" w:hAnsi="Calibri"/>
                <w:b w:val="0"/>
                <w:i w:val="0"/>
                <w:color w:val="000000"/>
                <w:sz w:val="18"/>
              </w:rPr>
              <w:t>Neo4j Visualization Library (used in the v2 graph canvas exploration)</w:t>
            </w:r>
          </w:p>
        </w:tc>
      </w:tr>
      <w:tr>
        <w:tc>
          <w:tcPr>
            <w:tcW w:type="dxa" w:w="4986"/>
            <w:vAlign w:val="top"/>
          </w:tcPr>
          <w:p>
            <w:r/>
            <w:r>
              <w:rPr>
                <w:rFonts w:ascii="Calibri" w:hAnsi="Calibri"/>
                <w:b w:val="0"/>
                <w:i w:val="0"/>
                <w:color w:val="000000"/>
                <w:sz w:val="18"/>
              </w:rPr>
              <w:t>PrivateLink</w:t>
            </w:r>
          </w:p>
        </w:tc>
        <w:tc>
          <w:tcPr>
            <w:tcW w:type="dxa" w:w="4986"/>
            <w:vAlign w:val="top"/>
          </w:tcPr>
          <w:p>
            <w:r/>
            <w:r>
              <w:rPr>
                <w:rFonts w:ascii="Calibri" w:hAnsi="Calibri"/>
                <w:b w:val="0"/>
                <w:i w:val="0"/>
                <w:color w:val="000000"/>
                <w:sz w:val="18"/>
              </w:rPr>
              <w:t>AWS service exposing endpoints inside a VPC without public egress</w:t>
            </w:r>
          </w:p>
        </w:tc>
      </w:tr>
      <w:tr>
        <w:tc>
          <w:tcPr>
            <w:tcW w:type="dxa" w:w="4986"/>
            <w:vAlign w:val="top"/>
          </w:tcPr>
          <w:p>
            <w:r/>
            <w:r>
              <w:rPr>
                <w:rFonts w:ascii="Calibri" w:hAnsi="Calibri"/>
                <w:b w:val="0"/>
                <w:i w:val="0"/>
                <w:color w:val="000000"/>
                <w:sz w:val="18"/>
              </w:rPr>
              <w:t>RBAC</w:t>
            </w:r>
          </w:p>
        </w:tc>
        <w:tc>
          <w:tcPr>
            <w:tcW w:type="dxa" w:w="4986"/>
            <w:vAlign w:val="top"/>
          </w:tcPr>
          <w:p>
            <w:r/>
            <w:r>
              <w:rPr>
                <w:rFonts w:ascii="Calibri" w:hAnsi="Calibri"/>
                <w:b w:val="0"/>
                <w:i w:val="0"/>
                <w:color w:val="000000"/>
                <w:sz w:val="18"/>
              </w:rPr>
              <w:t>Role-Based Access Control</w:t>
            </w:r>
          </w:p>
        </w:tc>
      </w:tr>
      <w:tr>
        <w:tc>
          <w:tcPr>
            <w:tcW w:type="dxa" w:w="4986"/>
            <w:vAlign w:val="top"/>
          </w:tcPr>
          <w:p>
            <w:r/>
            <w:r>
              <w:rPr>
                <w:rFonts w:ascii="Calibri" w:hAnsi="Calibri"/>
                <w:b w:val="0"/>
                <w:i w:val="0"/>
                <w:color w:val="000000"/>
                <w:sz w:val="18"/>
              </w:rPr>
              <w:t>X-Ray</w:t>
            </w:r>
          </w:p>
        </w:tc>
        <w:tc>
          <w:tcPr>
            <w:tcW w:type="dxa" w:w="4986"/>
            <w:vAlign w:val="top"/>
          </w:tcPr>
          <w:p>
            <w:r/>
            <w:r>
              <w:rPr>
                <w:rFonts w:ascii="Calibri" w:hAnsi="Calibri"/>
                <w:b w:val="0"/>
                <w:i w:val="0"/>
                <w:color w:val="000000"/>
                <w:sz w:val="18"/>
              </w:rPr>
              <w:t>AWS distributed tracing service</w:t>
            </w:r>
          </w:p>
        </w:tc>
      </w:tr>
    </w:tbl>
    <w:p/>
    <w:sectPr w:rsidR="00FC693F" w:rsidRPr="0006063C" w:rsidSect="00034616">
      <w:headerReference w:type="default" r:id="rId9"/>
      <w:footerReference w:type="default" r:id="rId10"/>
      <w:pgSz w:w="12240" w:h="15840"/>
      <w:pgMar w:top="1361"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b w:val="0"/>
        <w:i/>
        <w:color w:val="424242"/>
        <w:sz w:val="16"/>
      </w:rPr>
      <w:t>Confidential — CSL Behring Internal Use Only   •   Generated May 2, 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2835"/>
      <w:gridCol w:w="6803"/>
    </w:tblGrid>
    <w:tr>
      <w:tc>
        <w:tcPr>
          <w:tcW w:type="dxa" w:w="4819"/>
        </w:tcPr>
        <w:p>
          <w:r>
            <w:drawing>
              <wp:inline xmlns:a="http://schemas.openxmlformats.org/drawingml/2006/main" xmlns:pic="http://schemas.openxmlformats.org/drawingml/2006/picture">
                <wp:extent cx="1224000" cy="383762"/>
                <wp:docPr id="1" name="Picture 1"/>
                <wp:cNvGraphicFramePr>
                  <a:graphicFrameLocks noChangeAspect="1"/>
                </wp:cNvGraphicFramePr>
                <a:graphic>
                  <a:graphicData uri="http://schemas.openxmlformats.org/drawingml/2006/picture">
                    <pic:pic>
                      <pic:nvPicPr>
                        <pic:cNvPr id="0" name="image.png"/>
                        <pic:cNvPicPr/>
                      </pic:nvPicPr>
                      <pic:blipFill>
                        <a:blip r:embed="rId1"/>
                        <a:stretch>
                          <a:fillRect/>
                        </a:stretch>
                      </pic:blipFill>
                      <pic:spPr>
                        <a:xfrm>
                          <a:off x="0" y="0"/>
                          <a:ext cx="1224000" cy="383762"/>
                        </a:xfrm>
                        <a:prstGeom prst="rect"/>
                      </pic:spPr>
                    </pic:pic>
                  </a:graphicData>
                </a:graphic>
              </wp:inline>
            </w:drawing>
          </w:r>
        </w:p>
      </w:tc>
      <w:tc>
        <w:tcPr>
          <w:tcW w:type="dxa" w:w="4819"/>
        </w:tcPr>
        <w:p>
          <w:pPr>
            <w:jc w:val="right"/>
          </w:pPr>
          <w:r>
            <w:rPr>
              <w:rFonts w:ascii="Calibri" w:hAnsi="Calibri"/>
              <w:b/>
              <w:i w:val="0"/>
              <w:color w:val="A6192E"/>
              <w:sz w:val="16"/>
            </w:rPr>
            <w:t>CSL BEHRING  |  EUGENE PLATFORM</w:t>
          </w:r>
          <w:r>
            <w:br/>
          </w:r>
          <w:r>
            <w:rPr>
              <w:rFonts w:ascii="Calibri" w:hAnsi="Calibri"/>
              <w:b w:val="0"/>
              <w:i w:val="0"/>
              <w:color w:val="1B3A6B"/>
              <w:sz w:val="16"/>
            </w:rPr>
            <w:t>Eugene Platform — Technical Recommendations &amp; Next-Generation Architecture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2.png"/><Relationship Id="rId1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